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13"/>
        <w:gridCol w:w="2291"/>
        <w:gridCol w:w="2597"/>
        <w:gridCol w:w="642"/>
        <w:gridCol w:w="712"/>
        <w:gridCol w:w="917"/>
        <w:gridCol w:w="1694"/>
        <w:gridCol w:w="1412"/>
        <w:gridCol w:w="95"/>
      </w:tblGrid>
      <w:tr w:rsidR="00142847" w:rsidTr="00710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15"/>
        </w:trPr>
        <w:tc>
          <w:tcPr>
            <w:tcW w:w="5943" w:type="dxa"/>
            <w:gridSpan w:val="4"/>
            <w:vMerge w:val="restart"/>
            <w:shd w:val="clear" w:color="FFFFFF" w:fill="auto"/>
            <w:vAlign w:val="bottom"/>
          </w:tcPr>
          <w:p w:rsidR="00142847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142847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142847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142847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142847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142847" w:rsidRPr="00142847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42847">
              <w:rPr>
                <w:rFonts w:ascii="Times New Roman" w:hAnsi="Times New Roman"/>
                <w:sz w:val="24"/>
                <w:szCs w:val="24"/>
              </w:rPr>
              <w:t>-</w:t>
            </w:r>
            <w:r w:rsidRPr="0014284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428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4284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42847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14284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428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4284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42847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142847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142847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142847" w:rsidRDefault="00142847" w:rsidP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08.12.2017 г. №.879-2017</w:t>
            </w:r>
          </w:p>
          <w:p w:rsidR="00142847" w:rsidRDefault="00142847" w:rsidP="00710887"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1629" w:type="dxa"/>
            <w:gridSpan w:val="2"/>
            <w:shd w:val="clear" w:color="FFFFFF" w:fill="auto"/>
            <w:vAlign w:val="bottom"/>
          </w:tcPr>
          <w:p w:rsidR="00142847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4" w:type="dxa"/>
            <w:shd w:val="clear" w:color="FFFFFF" w:fill="auto"/>
            <w:vAlign w:val="bottom"/>
          </w:tcPr>
          <w:p w:rsidR="00142847" w:rsidRDefault="00142847"/>
        </w:tc>
        <w:tc>
          <w:tcPr>
            <w:tcW w:w="1412" w:type="dxa"/>
            <w:shd w:val="clear" w:color="FFFFFF" w:fill="auto"/>
            <w:vAlign w:val="bottom"/>
          </w:tcPr>
          <w:p w:rsidR="00142847" w:rsidRDefault="00142847"/>
        </w:tc>
      </w:tr>
      <w:tr w:rsidR="00142847" w:rsidTr="00710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15"/>
        </w:trPr>
        <w:tc>
          <w:tcPr>
            <w:tcW w:w="5943" w:type="dxa"/>
            <w:gridSpan w:val="4"/>
            <w:vMerge/>
            <w:shd w:val="clear" w:color="FFFFFF" w:fill="auto"/>
            <w:vAlign w:val="bottom"/>
          </w:tcPr>
          <w:p w:rsidR="00142847" w:rsidRDefault="00142847" w:rsidP="00710887"/>
        </w:tc>
        <w:tc>
          <w:tcPr>
            <w:tcW w:w="712" w:type="dxa"/>
            <w:shd w:val="clear" w:color="FFFFFF" w:fill="auto"/>
            <w:vAlign w:val="bottom"/>
          </w:tcPr>
          <w:p w:rsidR="00142847" w:rsidRDefault="00142847"/>
        </w:tc>
        <w:tc>
          <w:tcPr>
            <w:tcW w:w="917" w:type="dxa"/>
            <w:shd w:val="clear" w:color="FFFFFF" w:fill="auto"/>
            <w:vAlign w:val="bottom"/>
          </w:tcPr>
          <w:p w:rsidR="00142847" w:rsidRDefault="00142847"/>
        </w:tc>
        <w:tc>
          <w:tcPr>
            <w:tcW w:w="1694" w:type="dxa"/>
            <w:shd w:val="clear" w:color="FFFFFF" w:fill="auto"/>
            <w:vAlign w:val="bottom"/>
          </w:tcPr>
          <w:p w:rsidR="00142847" w:rsidRDefault="00142847"/>
        </w:tc>
        <w:tc>
          <w:tcPr>
            <w:tcW w:w="1412" w:type="dxa"/>
            <w:shd w:val="clear" w:color="FFFFFF" w:fill="auto"/>
            <w:vAlign w:val="bottom"/>
          </w:tcPr>
          <w:p w:rsidR="00142847" w:rsidRDefault="00142847"/>
        </w:tc>
      </w:tr>
      <w:tr w:rsidR="00142847" w:rsidTr="00710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15"/>
        </w:trPr>
        <w:tc>
          <w:tcPr>
            <w:tcW w:w="5943" w:type="dxa"/>
            <w:gridSpan w:val="4"/>
            <w:vMerge/>
            <w:shd w:val="clear" w:color="FFFFFF" w:fill="auto"/>
            <w:vAlign w:val="bottom"/>
          </w:tcPr>
          <w:p w:rsidR="00142847" w:rsidRDefault="00142847" w:rsidP="00710887"/>
        </w:tc>
        <w:tc>
          <w:tcPr>
            <w:tcW w:w="712" w:type="dxa"/>
            <w:shd w:val="clear" w:color="FFFFFF" w:fill="auto"/>
            <w:vAlign w:val="bottom"/>
          </w:tcPr>
          <w:p w:rsidR="00142847" w:rsidRDefault="00142847"/>
        </w:tc>
        <w:tc>
          <w:tcPr>
            <w:tcW w:w="917" w:type="dxa"/>
            <w:shd w:val="clear" w:color="FFFFFF" w:fill="auto"/>
            <w:vAlign w:val="bottom"/>
          </w:tcPr>
          <w:p w:rsidR="00142847" w:rsidRDefault="00142847"/>
        </w:tc>
        <w:tc>
          <w:tcPr>
            <w:tcW w:w="1694" w:type="dxa"/>
            <w:shd w:val="clear" w:color="FFFFFF" w:fill="auto"/>
            <w:vAlign w:val="bottom"/>
          </w:tcPr>
          <w:p w:rsidR="00142847" w:rsidRDefault="00142847"/>
        </w:tc>
        <w:tc>
          <w:tcPr>
            <w:tcW w:w="1412" w:type="dxa"/>
            <w:shd w:val="clear" w:color="FFFFFF" w:fill="auto"/>
            <w:vAlign w:val="bottom"/>
          </w:tcPr>
          <w:p w:rsidR="00142847" w:rsidRDefault="00142847"/>
        </w:tc>
      </w:tr>
      <w:tr w:rsidR="00142847" w:rsidTr="00710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15"/>
        </w:trPr>
        <w:tc>
          <w:tcPr>
            <w:tcW w:w="5943" w:type="dxa"/>
            <w:gridSpan w:val="4"/>
            <w:vMerge/>
            <w:shd w:val="clear" w:color="FFFFFF" w:fill="auto"/>
            <w:vAlign w:val="bottom"/>
          </w:tcPr>
          <w:p w:rsidR="00142847" w:rsidRDefault="00142847" w:rsidP="00710887"/>
        </w:tc>
        <w:tc>
          <w:tcPr>
            <w:tcW w:w="712" w:type="dxa"/>
            <w:shd w:val="clear" w:color="FFFFFF" w:fill="auto"/>
            <w:vAlign w:val="bottom"/>
          </w:tcPr>
          <w:p w:rsidR="00142847" w:rsidRDefault="00142847"/>
        </w:tc>
        <w:tc>
          <w:tcPr>
            <w:tcW w:w="917" w:type="dxa"/>
            <w:shd w:val="clear" w:color="FFFFFF" w:fill="auto"/>
            <w:vAlign w:val="bottom"/>
          </w:tcPr>
          <w:p w:rsidR="00142847" w:rsidRDefault="00142847"/>
        </w:tc>
        <w:tc>
          <w:tcPr>
            <w:tcW w:w="1694" w:type="dxa"/>
            <w:shd w:val="clear" w:color="FFFFFF" w:fill="auto"/>
            <w:vAlign w:val="bottom"/>
          </w:tcPr>
          <w:p w:rsidR="00142847" w:rsidRDefault="00142847"/>
        </w:tc>
        <w:tc>
          <w:tcPr>
            <w:tcW w:w="1412" w:type="dxa"/>
            <w:shd w:val="clear" w:color="FFFFFF" w:fill="auto"/>
            <w:vAlign w:val="bottom"/>
          </w:tcPr>
          <w:p w:rsidR="00142847" w:rsidRDefault="00142847"/>
        </w:tc>
      </w:tr>
      <w:tr w:rsidR="00142847" w:rsidTr="00710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15"/>
        </w:trPr>
        <w:tc>
          <w:tcPr>
            <w:tcW w:w="5943" w:type="dxa"/>
            <w:gridSpan w:val="4"/>
            <w:vMerge/>
            <w:shd w:val="clear" w:color="FFFFFF" w:fill="auto"/>
            <w:vAlign w:val="bottom"/>
          </w:tcPr>
          <w:p w:rsidR="00142847" w:rsidRDefault="00142847" w:rsidP="00710887"/>
        </w:tc>
        <w:tc>
          <w:tcPr>
            <w:tcW w:w="712" w:type="dxa"/>
            <w:shd w:val="clear" w:color="FFFFFF" w:fill="auto"/>
            <w:vAlign w:val="bottom"/>
          </w:tcPr>
          <w:p w:rsidR="00142847" w:rsidRDefault="00142847"/>
        </w:tc>
        <w:tc>
          <w:tcPr>
            <w:tcW w:w="917" w:type="dxa"/>
            <w:shd w:val="clear" w:color="FFFFFF" w:fill="auto"/>
            <w:vAlign w:val="bottom"/>
          </w:tcPr>
          <w:p w:rsidR="00142847" w:rsidRDefault="00142847"/>
        </w:tc>
        <w:tc>
          <w:tcPr>
            <w:tcW w:w="1694" w:type="dxa"/>
            <w:shd w:val="clear" w:color="FFFFFF" w:fill="auto"/>
            <w:vAlign w:val="bottom"/>
          </w:tcPr>
          <w:p w:rsidR="00142847" w:rsidRDefault="00142847"/>
        </w:tc>
        <w:tc>
          <w:tcPr>
            <w:tcW w:w="1412" w:type="dxa"/>
            <w:shd w:val="clear" w:color="FFFFFF" w:fill="auto"/>
            <w:vAlign w:val="bottom"/>
          </w:tcPr>
          <w:p w:rsidR="00142847" w:rsidRDefault="00142847"/>
        </w:tc>
      </w:tr>
      <w:tr w:rsidR="00142847" w:rsidRPr="00142847" w:rsidTr="00710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15"/>
        </w:trPr>
        <w:tc>
          <w:tcPr>
            <w:tcW w:w="5943" w:type="dxa"/>
            <w:gridSpan w:val="4"/>
            <w:vMerge/>
            <w:shd w:val="clear" w:color="FFFFFF" w:fill="auto"/>
            <w:vAlign w:val="bottom"/>
          </w:tcPr>
          <w:p w:rsidR="00142847" w:rsidRPr="00142847" w:rsidRDefault="00142847" w:rsidP="00710887">
            <w:pPr>
              <w:rPr>
                <w:lang w:val="en-US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142847" w:rsidRPr="00142847" w:rsidRDefault="00142847">
            <w:pPr>
              <w:rPr>
                <w:lang w:val="en-US"/>
              </w:rPr>
            </w:pPr>
          </w:p>
        </w:tc>
        <w:tc>
          <w:tcPr>
            <w:tcW w:w="917" w:type="dxa"/>
            <w:shd w:val="clear" w:color="FFFFFF" w:fill="auto"/>
            <w:vAlign w:val="bottom"/>
          </w:tcPr>
          <w:p w:rsidR="00142847" w:rsidRPr="00142847" w:rsidRDefault="00142847">
            <w:pPr>
              <w:rPr>
                <w:lang w:val="en-US"/>
              </w:rPr>
            </w:pPr>
          </w:p>
        </w:tc>
        <w:tc>
          <w:tcPr>
            <w:tcW w:w="1694" w:type="dxa"/>
            <w:shd w:val="clear" w:color="FFFFFF" w:fill="auto"/>
            <w:vAlign w:val="bottom"/>
          </w:tcPr>
          <w:p w:rsidR="00142847" w:rsidRPr="00142847" w:rsidRDefault="00142847">
            <w:pPr>
              <w:rPr>
                <w:lang w:val="en-US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142847" w:rsidRPr="00142847" w:rsidRDefault="00142847">
            <w:pPr>
              <w:rPr>
                <w:lang w:val="en-US"/>
              </w:rPr>
            </w:pPr>
          </w:p>
        </w:tc>
      </w:tr>
      <w:tr w:rsidR="00142847" w:rsidTr="00710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15"/>
        </w:trPr>
        <w:tc>
          <w:tcPr>
            <w:tcW w:w="5943" w:type="dxa"/>
            <w:gridSpan w:val="4"/>
            <w:vMerge/>
            <w:shd w:val="clear" w:color="FFFFFF" w:fill="auto"/>
            <w:vAlign w:val="bottom"/>
          </w:tcPr>
          <w:p w:rsidR="00142847" w:rsidRDefault="00142847" w:rsidP="00710887"/>
        </w:tc>
        <w:tc>
          <w:tcPr>
            <w:tcW w:w="712" w:type="dxa"/>
            <w:shd w:val="clear" w:color="FFFFFF" w:fill="auto"/>
            <w:vAlign w:val="bottom"/>
          </w:tcPr>
          <w:p w:rsidR="00142847" w:rsidRDefault="00142847"/>
        </w:tc>
        <w:tc>
          <w:tcPr>
            <w:tcW w:w="917" w:type="dxa"/>
            <w:shd w:val="clear" w:color="FFFFFF" w:fill="auto"/>
            <w:vAlign w:val="bottom"/>
          </w:tcPr>
          <w:p w:rsidR="00142847" w:rsidRDefault="00142847"/>
        </w:tc>
        <w:tc>
          <w:tcPr>
            <w:tcW w:w="1694" w:type="dxa"/>
            <w:shd w:val="clear" w:color="FFFFFF" w:fill="auto"/>
            <w:vAlign w:val="bottom"/>
          </w:tcPr>
          <w:p w:rsidR="00142847" w:rsidRDefault="00142847"/>
        </w:tc>
        <w:tc>
          <w:tcPr>
            <w:tcW w:w="1412" w:type="dxa"/>
            <w:shd w:val="clear" w:color="FFFFFF" w:fill="auto"/>
            <w:vAlign w:val="bottom"/>
          </w:tcPr>
          <w:p w:rsidR="00142847" w:rsidRDefault="00142847"/>
        </w:tc>
      </w:tr>
      <w:tr w:rsidR="00142847" w:rsidTr="00710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15"/>
        </w:trPr>
        <w:tc>
          <w:tcPr>
            <w:tcW w:w="5943" w:type="dxa"/>
            <w:gridSpan w:val="4"/>
            <w:vMerge/>
            <w:shd w:val="clear" w:color="FFFFFF" w:fill="auto"/>
            <w:vAlign w:val="bottom"/>
          </w:tcPr>
          <w:p w:rsidR="00142847" w:rsidRDefault="00142847" w:rsidP="00710887"/>
        </w:tc>
        <w:tc>
          <w:tcPr>
            <w:tcW w:w="712" w:type="dxa"/>
            <w:shd w:val="clear" w:color="FFFFFF" w:fill="auto"/>
            <w:vAlign w:val="bottom"/>
          </w:tcPr>
          <w:p w:rsidR="00142847" w:rsidRDefault="00142847"/>
        </w:tc>
        <w:tc>
          <w:tcPr>
            <w:tcW w:w="917" w:type="dxa"/>
            <w:shd w:val="clear" w:color="FFFFFF" w:fill="auto"/>
            <w:vAlign w:val="bottom"/>
          </w:tcPr>
          <w:p w:rsidR="00142847" w:rsidRDefault="00142847"/>
        </w:tc>
        <w:tc>
          <w:tcPr>
            <w:tcW w:w="1694" w:type="dxa"/>
            <w:shd w:val="clear" w:color="FFFFFF" w:fill="auto"/>
            <w:vAlign w:val="bottom"/>
          </w:tcPr>
          <w:p w:rsidR="00142847" w:rsidRDefault="00142847"/>
        </w:tc>
        <w:tc>
          <w:tcPr>
            <w:tcW w:w="1412" w:type="dxa"/>
            <w:shd w:val="clear" w:color="FFFFFF" w:fill="auto"/>
            <w:vAlign w:val="bottom"/>
          </w:tcPr>
          <w:p w:rsidR="00142847" w:rsidRDefault="00142847"/>
        </w:tc>
      </w:tr>
      <w:tr w:rsidR="00142847" w:rsidTr="00710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15"/>
        </w:trPr>
        <w:tc>
          <w:tcPr>
            <w:tcW w:w="5943" w:type="dxa"/>
            <w:gridSpan w:val="4"/>
            <w:vMerge/>
            <w:shd w:val="clear" w:color="FFFFFF" w:fill="auto"/>
            <w:vAlign w:val="bottom"/>
          </w:tcPr>
          <w:p w:rsidR="00142847" w:rsidRDefault="00142847" w:rsidP="00710887"/>
        </w:tc>
        <w:tc>
          <w:tcPr>
            <w:tcW w:w="712" w:type="dxa"/>
            <w:shd w:val="clear" w:color="FFFFFF" w:fill="auto"/>
            <w:vAlign w:val="bottom"/>
          </w:tcPr>
          <w:p w:rsidR="00142847" w:rsidRDefault="00142847"/>
        </w:tc>
        <w:tc>
          <w:tcPr>
            <w:tcW w:w="917" w:type="dxa"/>
            <w:shd w:val="clear" w:color="FFFFFF" w:fill="auto"/>
            <w:vAlign w:val="bottom"/>
          </w:tcPr>
          <w:p w:rsidR="00142847" w:rsidRDefault="00142847"/>
        </w:tc>
        <w:tc>
          <w:tcPr>
            <w:tcW w:w="1694" w:type="dxa"/>
            <w:shd w:val="clear" w:color="FFFFFF" w:fill="auto"/>
            <w:vAlign w:val="bottom"/>
          </w:tcPr>
          <w:p w:rsidR="00142847" w:rsidRDefault="00142847"/>
        </w:tc>
        <w:tc>
          <w:tcPr>
            <w:tcW w:w="1412" w:type="dxa"/>
            <w:shd w:val="clear" w:color="FFFFFF" w:fill="auto"/>
            <w:vAlign w:val="bottom"/>
          </w:tcPr>
          <w:p w:rsidR="00142847" w:rsidRDefault="00142847"/>
        </w:tc>
      </w:tr>
      <w:tr w:rsidR="00142847" w:rsidTr="00710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15"/>
        </w:trPr>
        <w:tc>
          <w:tcPr>
            <w:tcW w:w="5943" w:type="dxa"/>
            <w:gridSpan w:val="4"/>
            <w:vMerge/>
            <w:shd w:val="clear" w:color="FFFFFF" w:fill="auto"/>
            <w:vAlign w:val="bottom"/>
          </w:tcPr>
          <w:p w:rsidR="00142847" w:rsidRDefault="00142847" w:rsidP="00710887"/>
        </w:tc>
        <w:tc>
          <w:tcPr>
            <w:tcW w:w="712" w:type="dxa"/>
            <w:shd w:val="clear" w:color="FFFFFF" w:fill="auto"/>
            <w:vAlign w:val="bottom"/>
          </w:tcPr>
          <w:p w:rsidR="00142847" w:rsidRDefault="00142847"/>
        </w:tc>
        <w:tc>
          <w:tcPr>
            <w:tcW w:w="917" w:type="dxa"/>
            <w:shd w:val="clear" w:color="FFFFFF" w:fill="auto"/>
            <w:vAlign w:val="bottom"/>
          </w:tcPr>
          <w:p w:rsidR="00142847" w:rsidRDefault="00142847"/>
        </w:tc>
        <w:tc>
          <w:tcPr>
            <w:tcW w:w="1694" w:type="dxa"/>
            <w:shd w:val="clear" w:color="FFFFFF" w:fill="auto"/>
            <w:vAlign w:val="bottom"/>
          </w:tcPr>
          <w:p w:rsidR="00142847" w:rsidRDefault="00142847"/>
        </w:tc>
        <w:tc>
          <w:tcPr>
            <w:tcW w:w="1412" w:type="dxa"/>
            <w:shd w:val="clear" w:color="FFFFFF" w:fill="auto"/>
            <w:vAlign w:val="bottom"/>
          </w:tcPr>
          <w:p w:rsidR="00142847" w:rsidRDefault="00142847"/>
        </w:tc>
      </w:tr>
      <w:tr w:rsidR="00142847" w:rsidTr="00710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15"/>
        </w:trPr>
        <w:tc>
          <w:tcPr>
            <w:tcW w:w="5943" w:type="dxa"/>
            <w:gridSpan w:val="4"/>
            <w:vMerge/>
            <w:shd w:val="clear" w:color="FFFFFF" w:fill="auto"/>
            <w:vAlign w:val="bottom"/>
          </w:tcPr>
          <w:p w:rsidR="00142847" w:rsidRDefault="00142847"/>
        </w:tc>
        <w:tc>
          <w:tcPr>
            <w:tcW w:w="712" w:type="dxa"/>
            <w:shd w:val="clear" w:color="FFFFFF" w:fill="auto"/>
            <w:vAlign w:val="bottom"/>
          </w:tcPr>
          <w:p w:rsidR="00142847" w:rsidRDefault="00142847"/>
        </w:tc>
        <w:tc>
          <w:tcPr>
            <w:tcW w:w="917" w:type="dxa"/>
            <w:shd w:val="clear" w:color="FFFFFF" w:fill="auto"/>
            <w:vAlign w:val="bottom"/>
          </w:tcPr>
          <w:p w:rsidR="00142847" w:rsidRDefault="00142847"/>
        </w:tc>
        <w:tc>
          <w:tcPr>
            <w:tcW w:w="1694" w:type="dxa"/>
            <w:shd w:val="clear" w:color="FFFFFF" w:fill="auto"/>
            <w:vAlign w:val="bottom"/>
          </w:tcPr>
          <w:p w:rsidR="00142847" w:rsidRDefault="00142847"/>
        </w:tc>
        <w:tc>
          <w:tcPr>
            <w:tcW w:w="1412" w:type="dxa"/>
            <w:shd w:val="clear" w:color="FFFFFF" w:fill="auto"/>
            <w:vAlign w:val="bottom"/>
          </w:tcPr>
          <w:p w:rsidR="00142847" w:rsidRDefault="00142847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15"/>
        </w:trPr>
        <w:tc>
          <w:tcPr>
            <w:tcW w:w="413" w:type="dxa"/>
            <w:shd w:val="clear" w:color="FFFFFF" w:fill="auto"/>
            <w:vAlign w:val="bottom"/>
          </w:tcPr>
          <w:p w:rsidR="00C617CE" w:rsidRDefault="00C617CE"/>
        </w:tc>
        <w:tc>
          <w:tcPr>
            <w:tcW w:w="2291" w:type="dxa"/>
            <w:shd w:val="clear" w:color="FFFFFF" w:fill="auto"/>
            <w:vAlign w:val="bottom"/>
          </w:tcPr>
          <w:p w:rsidR="00C617CE" w:rsidRDefault="00C617CE"/>
        </w:tc>
        <w:tc>
          <w:tcPr>
            <w:tcW w:w="2597" w:type="dxa"/>
            <w:shd w:val="clear" w:color="FFFFFF" w:fill="auto"/>
            <w:vAlign w:val="bottom"/>
          </w:tcPr>
          <w:p w:rsidR="00C617CE" w:rsidRDefault="00C617CE"/>
        </w:tc>
        <w:tc>
          <w:tcPr>
            <w:tcW w:w="642" w:type="dxa"/>
            <w:shd w:val="clear" w:color="FFFFFF" w:fill="auto"/>
            <w:vAlign w:val="bottom"/>
          </w:tcPr>
          <w:p w:rsidR="00C617CE" w:rsidRDefault="00C617CE"/>
        </w:tc>
        <w:tc>
          <w:tcPr>
            <w:tcW w:w="712" w:type="dxa"/>
            <w:shd w:val="clear" w:color="FFFFFF" w:fill="auto"/>
            <w:vAlign w:val="bottom"/>
          </w:tcPr>
          <w:p w:rsidR="00C617CE" w:rsidRDefault="00C617CE"/>
        </w:tc>
        <w:tc>
          <w:tcPr>
            <w:tcW w:w="917" w:type="dxa"/>
            <w:shd w:val="clear" w:color="FFFFFF" w:fill="auto"/>
            <w:vAlign w:val="bottom"/>
          </w:tcPr>
          <w:p w:rsidR="00C617CE" w:rsidRDefault="00C617CE"/>
        </w:tc>
        <w:tc>
          <w:tcPr>
            <w:tcW w:w="1694" w:type="dxa"/>
            <w:shd w:val="clear" w:color="FFFFFF" w:fill="auto"/>
            <w:vAlign w:val="bottom"/>
          </w:tcPr>
          <w:p w:rsidR="00C617CE" w:rsidRDefault="00C617CE"/>
        </w:tc>
        <w:tc>
          <w:tcPr>
            <w:tcW w:w="1412" w:type="dxa"/>
            <w:shd w:val="clear" w:color="FFFFFF" w:fill="auto"/>
            <w:vAlign w:val="bottom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15"/>
        </w:trPr>
        <w:tc>
          <w:tcPr>
            <w:tcW w:w="413" w:type="dxa"/>
            <w:shd w:val="clear" w:color="FFFFFF" w:fill="auto"/>
            <w:vAlign w:val="bottom"/>
          </w:tcPr>
          <w:p w:rsidR="00C617CE" w:rsidRDefault="00C617CE"/>
        </w:tc>
        <w:tc>
          <w:tcPr>
            <w:tcW w:w="2291" w:type="dxa"/>
            <w:shd w:val="clear" w:color="FFFFFF" w:fill="auto"/>
            <w:vAlign w:val="bottom"/>
          </w:tcPr>
          <w:p w:rsidR="00C617CE" w:rsidRDefault="00C617CE"/>
        </w:tc>
        <w:tc>
          <w:tcPr>
            <w:tcW w:w="2597" w:type="dxa"/>
            <w:shd w:val="clear" w:color="FFFFFF" w:fill="auto"/>
            <w:vAlign w:val="bottom"/>
          </w:tcPr>
          <w:p w:rsidR="00C617CE" w:rsidRDefault="00C617CE"/>
        </w:tc>
        <w:tc>
          <w:tcPr>
            <w:tcW w:w="642" w:type="dxa"/>
            <w:shd w:val="clear" w:color="FFFFFF" w:fill="auto"/>
            <w:vAlign w:val="bottom"/>
          </w:tcPr>
          <w:p w:rsidR="00C617CE" w:rsidRDefault="00C617CE"/>
        </w:tc>
        <w:tc>
          <w:tcPr>
            <w:tcW w:w="712" w:type="dxa"/>
            <w:shd w:val="clear" w:color="FFFFFF" w:fill="auto"/>
            <w:vAlign w:val="bottom"/>
          </w:tcPr>
          <w:p w:rsidR="00C617CE" w:rsidRDefault="00C617CE"/>
        </w:tc>
        <w:tc>
          <w:tcPr>
            <w:tcW w:w="917" w:type="dxa"/>
            <w:shd w:val="clear" w:color="FFFFFF" w:fill="auto"/>
            <w:vAlign w:val="bottom"/>
          </w:tcPr>
          <w:p w:rsidR="00C617CE" w:rsidRDefault="00C617CE"/>
        </w:tc>
        <w:tc>
          <w:tcPr>
            <w:tcW w:w="1694" w:type="dxa"/>
            <w:shd w:val="clear" w:color="FFFFFF" w:fill="auto"/>
            <w:vAlign w:val="bottom"/>
          </w:tcPr>
          <w:p w:rsidR="00C617CE" w:rsidRDefault="00C617CE"/>
        </w:tc>
        <w:tc>
          <w:tcPr>
            <w:tcW w:w="1412" w:type="dxa"/>
            <w:shd w:val="clear" w:color="FFFFFF" w:fill="auto"/>
            <w:vAlign w:val="bottom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75"/>
        </w:trPr>
        <w:tc>
          <w:tcPr>
            <w:tcW w:w="7572" w:type="dxa"/>
            <w:gridSpan w:val="6"/>
            <w:shd w:val="clear" w:color="FFFFFF" w:fill="auto"/>
            <w:vAlign w:val="bottom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694" w:type="dxa"/>
            <w:shd w:val="clear" w:color="FFFFFF" w:fill="auto"/>
            <w:vAlign w:val="bottom"/>
          </w:tcPr>
          <w:p w:rsidR="00C617CE" w:rsidRDefault="00C617CE"/>
        </w:tc>
        <w:tc>
          <w:tcPr>
            <w:tcW w:w="1412" w:type="dxa"/>
            <w:shd w:val="clear" w:color="FFFFFF" w:fill="auto"/>
            <w:vAlign w:val="bottom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75"/>
        </w:trPr>
        <w:tc>
          <w:tcPr>
            <w:tcW w:w="7572" w:type="dxa"/>
            <w:gridSpan w:val="6"/>
            <w:shd w:val="clear" w:color="FFFFFF" w:fill="auto"/>
            <w:vAlign w:val="bottom"/>
          </w:tcPr>
          <w:p w:rsidR="00C617CE" w:rsidRDefault="00142847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694" w:type="dxa"/>
            <w:shd w:val="clear" w:color="FFFFFF" w:fill="auto"/>
            <w:vAlign w:val="bottom"/>
          </w:tcPr>
          <w:p w:rsidR="00C617CE" w:rsidRDefault="00C617CE"/>
        </w:tc>
        <w:tc>
          <w:tcPr>
            <w:tcW w:w="1412" w:type="dxa"/>
            <w:shd w:val="clear" w:color="FFFFFF" w:fill="auto"/>
            <w:vAlign w:val="bottom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615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1515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Диалайзер-СИС-СЭЙЧБ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5л или эквивалент</w:t>
            </w:r>
          </w:p>
        </w:tc>
        <w:tc>
          <w:tcPr>
            <w:tcW w:w="2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Dialyser-SYS-SHB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ltr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Диалайзер-СИС-СЭЙЧБ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 л)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для определения гемоглобина.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Упаковка-пластиковая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канистра 5 л., внешняя упаковка- коробка.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>
            <w:pPr>
              <w:jc w:val="center"/>
            </w:pP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1515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>Диастромлайзер-СИС-4ДС-Дай или эквивалент</w:t>
            </w:r>
          </w:p>
        </w:tc>
        <w:tc>
          <w:tcPr>
            <w:tcW w:w="2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>Diastromlyser-SYS-4DS-Dye, Реагент для окрашивания лейкоцитов. Упаковка -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пластиковые флаконы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42 мл., внешняя упаковка-коробка.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>
            <w:pPr>
              <w:jc w:val="center"/>
            </w:pP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915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изотонический 20 л или эквивалент</w:t>
            </w:r>
          </w:p>
        </w:tc>
        <w:tc>
          <w:tcPr>
            <w:tcW w:w="2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Diaton-SYS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Diluent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ltr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Диатон-СИС-Дилюент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 л). Изотонический раствор.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Упаковка-пластиковая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канистра 20 л., внешняя упаковка- коробка.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>
            <w:pPr>
              <w:jc w:val="center"/>
            </w:pP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2415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для анализа базофилов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Диастромлайзер-СИС-ФБА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Diastromlyser-SYS-FBA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</w:t>
            </w:r>
          </w:p>
        </w:tc>
        <w:tc>
          <w:tcPr>
            <w:tcW w:w="2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применяется для разрушения эритроцитов и уменьшения размеров всех видов лейкоцитов, за исключением базофилов. Применяется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подготовки образца крови к подсчету базофилов на гематологическом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Сисмекс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ХT-2000/4000 Фасовка 5 л. Стабильность закрытого реагента 12 месяцев. Стабильность вскрытого реагента 60 суток.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Условия хранения: 25 °С в темном месте.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>
            <w:pPr>
              <w:jc w:val="center"/>
            </w:pP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615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DCL 20 л. (CELLPACK DCL 20l) или эквивалент</w:t>
            </w:r>
          </w:p>
        </w:tc>
        <w:tc>
          <w:tcPr>
            <w:tcW w:w="2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>Набор предназначен для анализа количества и размеров эритроцитов и тромбоцитов методом гидродинамической фокусировки. Так же реагент используется для определения концентрации гемоглобина и в качестве фокусирующей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жидкости для детектора гидродинамической фокусировки на гематологических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анаизаторах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Стабильность после вскрытия  при хранении от +2 до +35 °C  без воздействия прямых солнечных лучей, не менее 60 суток. Требуется совместимость с гематологиче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ским оборудованием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содержит не менее 1 упаковки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л.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>
            <w:pPr>
              <w:jc w:val="center"/>
            </w:pP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015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 DFL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1,5 л или эквивалент</w:t>
            </w:r>
          </w:p>
        </w:tc>
        <w:tc>
          <w:tcPr>
            <w:tcW w:w="2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 для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и/или тромбоцитов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полупроводникового лазера. 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RET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XN. Стабильность после вскрытия при хранении от +2 до +35 °C без воздействия прямых солнечных лучей – 60 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ток. Совместим с гематологическим оборудованием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XN. Набор содержит 2 упаковки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1,5 л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>
            <w:pPr>
              <w:jc w:val="center"/>
            </w:pP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2415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Sulfolyser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5l) или эквивалент</w:t>
            </w:r>
          </w:p>
        </w:tc>
        <w:tc>
          <w:tcPr>
            <w:tcW w:w="2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предназначен для определения гемоглобина фотоэлектрическим методом на гематологических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анализаторах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Стабильность после вскрытия  при хранении от +1 до +30 °C  без воздействия прямых солнечных лучей, не менее 90 суток.  Требуется совместимость с гематологическим оборудованием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содержит не менее 1 упаковки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>
            <w:pPr>
              <w:jc w:val="center"/>
            </w:pP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839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WNR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л (LYSERCELL WNR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4l) или эквивалент</w:t>
            </w:r>
          </w:p>
        </w:tc>
        <w:tc>
          <w:tcPr>
            <w:tcW w:w="2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предназначен для подсчета лейкоцитов, подсчета базофилов и определения относительного количества базофилов, подсчета нормобластов и определения относительного количества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нормобластов,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и дифференцировки лейкоцитов, базофилов и нормобластов. 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WNR гематологических анализаторов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Стабильность после вскрытия  при хранении от 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до +35 °C  без воздействия прямых солнечных лучей, не менее 60 суток.  Требуется совместимость с гематологическим оборудованием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содержит не менее 2  упаковок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4л.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>
            <w:pPr>
              <w:jc w:val="center"/>
            </w:pP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615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WDF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л (LYSERCELL WDF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4l) или эквивалент</w:t>
            </w:r>
          </w:p>
        </w:tc>
        <w:tc>
          <w:tcPr>
            <w:tcW w:w="2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предназначен для подсчета абсолютного количества и определения относительного количества нейтрофилов, лимфоцитов, моноцитов и эозинофилов, путем гемолиза эритроцитов и окрашивания компонентов лейкоцитов. 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</w:t>
            </w:r>
            <w:r>
              <w:rPr>
                <w:rFonts w:ascii="Times New Roman" w:hAnsi="Times New Roman"/>
                <w:sz w:val="24"/>
                <w:szCs w:val="24"/>
              </w:rPr>
              <w:t>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WDF гематологических анализаторов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Стабильность после вскрытия  при хранении от +2 до +35 °C  без воздействия прямых солнечных лучей, не менее 90 суток.  Требуется совместимость с гематологическим оборудованием сер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содержит не менее 2  упаковок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л.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>
            <w:pPr>
              <w:jc w:val="center"/>
            </w:pP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015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 xml:space="preserve">Краситель флуоресцентный WNR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82 мл (FLUOROCELL WNR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</w:t>
            </w:r>
          </w:p>
        </w:tc>
        <w:tc>
          <w:tcPr>
            <w:tcW w:w="2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>Набор предназначен для подсчета числа лейкоцитов, числа ядросодержащих эритроцитов и числа базофилов, путем окрашивания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ядросодержащих клеток в разбавленных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образцах крови в гематологических анализаторах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Стабильность после вскрытия  при хранении от +2 до +35 °C  без воздействия прямых солнечных лучей, не менее 90 суток.  Требуется совместимость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гематологическим оборудованием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содержит не менее 2  упаковок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82 мл.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>
            <w:pPr>
              <w:jc w:val="center"/>
            </w:pP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2715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 xml:space="preserve">Краситель флуоресцентный WDF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42 мл (FLUOROCELL WDF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42ml) или эквивалент</w:t>
            </w:r>
          </w:p>
        </w:tc>
        <w:tc>
          <w:tcPr>
            <w:tcW w:w="2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предназначается для дифференциального подсчета лейкоцитов по 4 популяциям,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путем окрашивания лейкоцитов в разбавленных образцах крови на гематологических анализаторах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Стабильность после вскрытия  при хранении от +2 до +35 °C  без воздействия прямых солнечных лучей, не менее 90 суток.  Требуется совместимость с гема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тологическим оборудованием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содержит не менее 2  упаковок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42 мл.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>
            <w:pPr>
              <w:jc w:val="center"/>
            </w:pP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315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 xml:space="preserve">Краситель флуоресцентный RET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мл (FLUOROCELL RET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12ml) или эквивалент</w:t>
            </w:r>
          </w:p>
        </w:tc>
        <w:tc>
          <w:tcPr>
            <w:tcW w:w="2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 xml:space="preserve">Флуоресцентный краситель предназначен для подсчета количества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процентного содержания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подсчета тромбоцитов оптическим методом, путем окрашивания в разбавленных образцах крови на гематологических анализаторах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XN. Стабильность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 вскрытия при хранении от +2 до +35 °C без воздействия прямых солнечных лучей – 90 суток. Совместим с гематологическим оборудованием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XN. Набор содержит 2 упаковки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мл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>
            <w:pPr>
              <w:jc w:val="center"/>
            </w:pP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4215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мл (CELLCLEAN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</w:t>
            </w:r>
          </w:p>
        </w:tc>
        <w:tc>
          <w:tcPr>
            <w:tcW w:w="2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очистки, удаления остатков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реагентов, клеточного материала и белков крови из гидравлической системы гематологических анализаторов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Стабильность после вскрытия  при хранении от +1 до +30°C  без воздействия прямых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лнечных лучей, не менее 60 суток. Требуется совместимость с гематологическим оборудованием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упаковке должен содержаться 28-значный штриховой код с информацией о реагенте для автоматического учета анализатором параметров партии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реагента. Наб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 содержит не менее 1 флакона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мл. Производитель  наборов должен соответствовать требованиям инструкций по эксплуатации приборов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>
            <w:pPr>
              <w:jc w:val="center"/>
            </w:pP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915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>Контрольный материал или эквивалент</w:t>
            </w:r>
          </w:p>
        </w:tc>
        <w:tc>
          <w:tcPr>
            <w:tcW w:w="2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качества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гематологических исследований, выполняемых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ализаторах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XN. Предназначен для анализа форменных элементов крови (СВС), дифференциальной лейкоцитарной формулы, подсчета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ядросодержащих эритроцитов (NRBC). Состав: стабилизированны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форменные элементы крови человека, включая ядросодержащие эритроциты. Уровень концентрации нормальный. Должен содержать не менее 1 флакона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мл уровня нормальной концентрации. Срок годности вскрытого флакона не менее 7 суток при температуре хранения  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2...+ 8° С.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>
            <w:pPr>
              <w:jc w:val="center"/>
            </w:pP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915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>Контрольный материал или эквивалент</w:t>
            </w:r>
          </w:p>
        </w:tc>
        <w:tc>
          <w:tcPr>
            <w:tcW w:w="2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качества гематологических исследований, выполняемых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ализаторах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XN. Предназначен для анализа форменных элементов крови (СВС),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дифференциальной лейкоцитарной формулы, подсчета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ядросодержащих эритроцитов (NRBC). Состав: стабилизированные форменные элементы крови человека, включая ядросодержащие эритроциты. Уровень концентрации низкий. Должен содержать не менее 1 фла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мл уровня низкой концентрации. Срок годности вскрытого флакона не менее 7 суток при температуре хранения  + 2...+ 8° С.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>
            <w:pPr>
              <w:jc w:val="center"/>
            </w:pP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915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STROMATOLYSER-FB (FBA-200A) или эквивалент</w:t>
            </w:r>
          </w:p>
        </w:tc>
        <w:tc>
          <w:tcPr>
            <w:tcW w:w="2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 xml:space="preserve">Прозрачный раствор, состоящий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четвертичной соли  аммония, 2-феноксетанола. Используется для выделения  из анализируемого образца крови базофилов. Упаковка пластиковая канистра 5 л с пластиковой пробкой, помещенная в картонную коробку. Реагент должен соответствовать рекомендациям завод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а-производителя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изложенных в Главе 4 Руководства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пользователя к гематологическому анализатору XT-4000i, прилагаемых в обязательном порядке к поставленному оборудованию. Это исключает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перекалибровку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 после устано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вки нового лота реагента. Производство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Europe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GmbH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Germany</w:t>
            </w:r>
            <w:proofErr w:type="spellEnd"/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>
            <w:pPr>
              <w:jc w:val="center"/>
            </w:pP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615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STROMATOLYSER-4DL (FFD-200A) или эквивалент</w:t>
            </w:r>
          </w:p>
        </w:tc>
        <w:tc>
          <w:tcPr>
            <w:tcW w:w="2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 xml:space="preserve">Прозрачный раствор, состоящий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органической  четвертичной  аммониевой соли. Используется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выделение из анализируемого образца лейкоцитов . Упаковка пластиковая бутылка 5 л с пластиковой пробкой. Реагент должен соответствовать рекомендациям завода-производителя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изложенных в Главе 4 Руководства пользователя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гематологическому анализатору XT-4000i, прилагаемых в обязательном порядке к поставленному оборудованию. Это исключает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перекалибровку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 после установки нового лота реагента. Производство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Corporation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Japan</w:t>
            </w:r>
            <w:proofErr w:type="spellEnd"/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>
            <w:pPr>
              <w:jc w:val="center"/>
            </w:pP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615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 xml:space="preserve">Краситель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флуоресцентный STROMATOLYSER-4DS (FFS-800A)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42мл или эквивалент</w:t>
            </w:r>
          </w:p>
        </w:tc>
        <w:tc>
          <w:tcPr>
            <w:tcW w:w="2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r>
              <w:rPr>
                <w:rFonts w:ascii="Times New Roman" w:hAnsi="Times New Roman"/>
                <w:sz w:val="24"/>
                <w:szCs w:val="24"/>
              </w:rPr>
              <w:t xml:space="preserve">Полиметиновый краситель, включающий в свой состав также метанол, этилен гликоль. Используется для окрашивания лейкоцитов в разбавленных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образцах крови. Упаковка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фольгированных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пакета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 мл.. Реагент должен соответствовать рекомендациям завода-производителя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изложенных в Главе 4 Руководства пользователя к гематологическому анализатору XT-4000i, прилагаемых в обязательном порядке к поставленному обору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дованию. Это исключает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перекалибровку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 после установки нового лота реагента. Производство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Corporation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Japan</w:t>
            </w:r>
            <w:proofErr w:type="spellEnd"/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>
            <w:pPr>
              <w:jc w:val="center"/>
            </w:pP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2533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 (РК-30L) или эквивалент</w:t>
            </w:r>
          </w:p>
        </w:tc>
        <w:tc>
          <w:tcPr>
            <w:tcW w:w="2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 для абсолютного подсчета WBC, RBC, PLT прямым (DC)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-методом, а также для определения концентрации гемоглобина на гематологических анализаторах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Хранение от +1 до +30 °C. Стабильность после вскрытия при хранении от +5 до +30 °C без воздействия прямых солнечных лучей – 60 суток. Совместим с гематологи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ческим оборудованием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упаковке содержится 28-значный штриховой код с информацией о реагенте для автоматического учёта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анализатором параметров партии реагента. Набор содержит 1 упаковку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л. Производитель соответствует требованиям инструкций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эксплуатации приборов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>
            <w:pPr>
              <w:jc w:val="center"/>
            </w:pP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2715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Pr="00142847" w:rsidRDefault="00142847">
            <w:r>
              <w:rPr>
                <w:rFonts w:ascii="Times New Roman" w:hAnsi="Times New Roman"/>
                <w:sz w:val="24"/>
                <w:szCs w:val="24"/>
              </w:rPr>
              <w:t>Реагент</w:t>
            </w:r>
            <w:r w:rsidRPr="00142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 w:rsidRPr="00142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47">
              <w:rPr>
                <w:rFonts w:ascii="Times New Roman" w:hAnsi="Times New Roman"/>
                <w:sz w:val="24"/>
                <w:szCs w:val="24"/>
                <w:lang w:val="en-US"/>
              </w:rPr>
              <w:t>SULFOLYSER</w:t>
            </w:r>
            <w:r w:rsidRPr="0014284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42847">
              <w:rPr>
                <w:rFonts w:ascii="Times New Roman" w:hAnsi="Times New Roman"/>
                <w:sz w:val="24"/>
                <w:szCs w:val="24"/>
                <w:lang w:val="en-US"/>
              </w:rPr>
              <w:t>SLS</w:t>
            </w:r>
            <w:r w:rsidRPr="00142847">
              <w:rPr>
                <w:rFonts w:ascii="Times New Roman" w:hAnsi="Times New Roman"/>
                <w:sz w:val="24"/>
                <w:szCs w:val="24"/>
              </w:rPr>
              <w:t>-210</w:t>
            </w:r>
            <w:r w:rsidRPr="0014284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428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2847">
              <w:rPr>
                <w:rFonts w:ascii="Times New Roman" w:hAnsi="Times New Roman"/>
                <w:sz w:val="24"/>
                <w:szCs w:val="24"/>
                <w:lang w:val="en-US"/>
              </w:rPr>
              <w:t>SLS</w:t>
            </w:r>
            <w:r w:rsidRPr="00142847">
              <w:rPr>
                <w:rFonts w:ascii="Times New Roman" w:hAnsi="Times New Roman"/>
                <w:sz w:val="24"/>
                <w:szCs w:val="24"/>
              </w:rPr>
              <w:t>-220</w:t>
            </w:r>
            <w:r w:rsidRPr="0014284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4284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2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 предназначен для определения гемоглобина фотоэлектрическим методом на гематологических анализаторах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Стабильность после вскрытия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хранении от +1 до +30 °C без воздействия прямых солнечных лучей – 90 суток. Совместим с гематологическим оборудованием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содержит 1 упаковку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5л. Производитель соответствует требованиям инструкций по эксплуатации приборов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1428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>
            <w:pPr>
              <w:jc w:val="center"/>
            </w:pPr>
          </w:p>
        </w:tc>
        <w:tc>
          <w:tcPr>
            <w:tcW w:w="16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C617CE" w:rsidRDefault="00142847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75"/>
        </w:trPr>
        <w:tc>
          <w:tcPr>
            <w:tcW w:w="7572" w:type="dxa"/>
            <w:gridSpan w:val="6"/>
            <w:shd w:val="clear" w:color="FFFFFF" w:fill="auto"/>
            <w:vAlign w:val="bottom"/>
          </w:tcPr>
          <w:p w:rsidR="00C617CE" w:rsidRDefault="00142847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694" w:type="dxa"/>
            <w:shd w:val="clear" w:color="FFFFFF" w:fill="auto"/>
            <w:vAlign w:val="bottom"/>
          </w:tcPr>
          <w:p w:rsidR="00C617CE" w:rsidRDefault="00C617CE"/>
        </w:tc>
        <w:tc>
          <w:tcPr>
            <w:tcW w:w="1412" w:type="dxa"/>
            <w:shd w:val="clear" w:color="FFFFFF" w:fill="auto"/>
            <w:vAlign w:val="bottom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55"/>
        </w:trPr>
        <w:tc>
          <w:tcPr>
            <w:tcW w:w="10678" w:type="dxa"/>
            <w:gridSpan w:val="8"/>
            <w:vMerge w:val="restart"/>
            <w:shd w:val="clear" w:color="FFFFFF" w:fill="auto"/>
            <w:vAlign w:val="bottom"/>
          </w:tcPr>
          <w:p w:rsidR="00C617CE" w:rsidRDefault="00142847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>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350"/>
        </w:trPr>
        <w:tc>
          <w:tcPr>
            <w:tcW w:w="10678" w:type="dxa"/>
            <w:gridSpan w:val="8"/>
            <w:vMerge/>
            <w:shd w:val="clear" w:color="FFFFFF" w:fill="auto"/>
            <w:vAlign w:val="bottom"/>
          </w:tcPr>
          <w:p w:rsidR="00C617CE" w:rsidRDefault="00142847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</w:t>
            </w:r>
            <w:r>
              <w:rPr>
                <w:rFonts w:ascii="Times New Roman" w:hAnsi="Times New Roman"/>
                <w:sz w:val="28"/>
                <w:szCs w:val="28"/>
              </w:rPr>
              <w:t>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C617CE" w:rsidRDefault="00142847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225"/>
        </w:trPr>
        <w:tc>
          <w:tcPr>
            <w:tcW w:w="413" w:type="dxa"/>
            <w:shd w:val="clear" w:color="FFFFFF" w:fill="auto"/>
            <w:vAlign w:val="bottom"/>
          </w:tcPr>
          <w:p w:rsidR="00C617CE" w:rsidRDefault="00C617CE"/>
        </w:tc>
        <w:tc>
          <w:tcPr>
            <w:tcW w:w="2291" w:type="dxa"/>
            <w:shd w:val="clear" w:color="FFFFFF" w:fill="auto"/>
            <w:vAlign w:val="bottom"/>
          </w:tcPr>
          <w:p w:rsidR="00C617CE" w:rsidRDefault="00C617CE"/>
        </w:tc>
        <w:tc>
          <w:tcPr>
            <w:tcW w:w="2597" w:type="dxa"/>
            <w:shd w:val="clear" w:color="FFFFFF" w:fill="auto"/>
            <w:vAlign w:val="bottom"/>
          </w:tcPr>
          <w:p w:rsidR="00C617CE" w:rsidRDefault="00C617CE"/>
        </w:tc>
        <w:tc>
          <w:tcPr>
            <w:tcW w:w="642" w:type="dxa"/>
            <w:shd w:val="clear" w:color="FFFFFF" w:fill="auto"/>
            <w:vAlign w:val="bottom"/>
          </w:tcPr>
          <w:p w:rsidR="00C617CE" w:rsidRDefault="00C617CE"/>
        </w:tc>
        <w:tc>
          <w:tcPr>
            <w:tcW w:w="712" w:type="dxa"/>
            <w:shd w:val="clear" w:color="FFFFFF" w:fill="auto"/>
            <w:vAlign w:val="bottom"/>
          </w:tcPr>
          <w:p w:rsidR="00C617CE" w:rsidRDefault="00C617CE"/>
        </w:tc>
        <w:tc>
          <w:tcPr>
            <w:tcW w:w="917" w:type="dxa"/>
            <w:shd w:val="clear" w:color="FFFFFF" w:fill="auto"/>
            <w:vAlign w:val="bottom"/>
          </w:tcPr>
          <w:p w:rsidR="00C617CE" w:rsidRDefault="00C617CE"/>
        </w:tc>
        <w:tc>
          <w:tcPr>
            <w:tcW w:w="1694" w:type="dxa"/>
            <w:shd w:val="clear" w:color="FFFFFF" w:fill="auto"/>
            <w:vAlign w:val="bottom"/>
          </w:tcPr>
          <w:p w:rsidR="00C617CE" w:rsidRDefault="00C617CE"/>
        </w:tc>
        <w:tc>
          <w:tcPr>
            <w:tcW w:w="1412" w:type="dxa"/>
            <w:shd w:val="clear" w:color="FFFFFF" w:fill="auto"/>
            <w:vAlign w:val="bottom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225"/>
        </w:trPr>
        <w:tc>
          <w:tcPr>
            <w:tcW w:w="413" w:type="dxa"/>
            <w:shd w:val="clear" w:color="FFFFFF" w:fill="auto"/>
            <w:vAlign w:val="bottom"/>
          </w:tcPr>
          <w:p w:rsidR="00C617CE" w:rsidRDefault="00C617CE"/>
        </w:tc>
        <w:tc>
          <w:tcPr>
            <w:tcW w:w="2291" w:type="dxa"/>
            <w:shd w:val="clear" w:color="FFFFFF" w:fill="auto"/>
            <w:vAlign w:val="bottom"/>
          </w:tcPr>
          <w:p w:rsidR="00C617CE" w:rsidRDefault="00C617CE"/>
        </w:tc>
        <w:tc>
          <w:tcPr>
            <w:tcW w:w="2597" w:type="dxa"/>
            <w:shd w:val="clear" w:color="FFFFFF" w:fill="auto"/>
            <w:vAlign w:val="bottom"/>
          </w:tcPr>
          <w:p w:rsidR="00C617CE" w:rsidRDefault="00C617CE"/>
        </w:tc>
        <w:tc>
          <w:tcPr>
            <w:tcW w:w="642" w:type="dxa"/>
            <w:shd w:val="clear" w:color="FFFFFF" w:fill="auto"/>
            <w:vAlign w:val="bottom"/>
          </w:tcPr>
          <w:p w:rsidR="00C617CE" w:rsidRDefault="00C617CE"/>
        </w:tc>
        <w:tc>
          <w:tcPr>
            <w:tcW w:w="712" w:type="dxa"/>
            <w:shd w:val="clear" w:color="FFFFFF" w:fill="auto"/>
            <w:vAlign w:val="bottom"/>
          </w:tcPr>
          <w:p w:rsidR="00C617CE" w:rsidRDefault="00C617CE"/>
        </w:tc>
        <w:tc>
          <w:tcPr>
            <w:tcW w:w="917" w:type="dxa"/>
            <w:shd w:val="clear" w:color="FFFFFF" w:fill="auto"/>
            <w:vAlign w:val="bottom"/>
          </w:tcPr>
          <w:p w:rsidR="00C617CE" w:rsidRDefault="00C617CE"/>
        </w:tc>
        <w:tc>
          <w:tcPr>
            <w:tcW w:w="1694" w:type="dxa"/>
            <w:shd w:val="clear" w:color="FFFFFF" w:fill="auto"/>
            <w:vAlign w:val="bottom"/>
          </w:tcPr>
          <w:p w:rsidR="00C617CE" w:rsidRDefault="00C617CE"/>
        </w:tc>
        <w:tc>
          <w:tcPr>
            <w:tcW w:w="1412" w:type="dxa"/>
            <w:shd w:val="clear" w:color="FFFFFF" w:fill="auto"/>
            <w:vAlign w:val="bottom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225"/>
        </w:trPr>
        <w:tc>
          <w:tcPr>
            <w:tcW w:w="413" w:type="dxa"/>
            <w:shd w:val="clear" w:color="FFFFFF" w:fill="auto"/>
            <w:vAlign w:val="bottom"/>
          </w:tcPr>
          <w:p w:rsidR="00C617CE" w:rsidRDefault="00C617CE"/>
        </w:tc>
        <w:tc>
          <w:tcPr>
            <w:tcW w:w="2291" w:type="dxa"/>
            <w:shd w:val="clear" w:color="FFFFFF" w:fill="auto"/>
            <w:vAlign w:val="bottom"/>
          </w:tcPr>
          <w:p w:rsidR="00C617CE" w:rsidRDefault="00C617CE"/>
        </w:tc>
        <w:tc>
          <w:tcPr>
            <w:tcW w:w="2597" w:type="dxa"/>
            <w:shd w:val="clear" w:color="FFFFFF" w:fill="auto"/>
            <w:vAlign w:val="bottom"/>
          </w:tcPr>
          <w:p w:rsidR="00C617CE" w:rsidRDefault="00C617CE"/>
        </w:tc>
        <w:tc>
          <w:tcPr>
            <w:tcW w:w="642" w:type="dxa"/>
            <w:shd w:val="clear" w:color="FFFFFF" w:fill="auto"/>
            <w:vAlign w:val="bottom"/>
          </w:tcPr>
          <w:p w:rsidR="00C617CE" w:rsidRDefault="00C617CE"/>
        </w:tc>
        <w:tc>
          <w:tcPr>
            <w:tcW w:w="712" w:type="dxa"/>
            <w:shd w:val="clear" w:color="FFFFFF" w:fill="auto"/>
            <w:vAlign w:val="bottom"/>
          </w:tcPr>
          <w:p w:rsidR="00C617CE" w:rsidRDefault="00C617CE"/>
        </w:tc>
        <w:tc>
          <w:tcPr>
            <w:tcW w:w="917" w:type="dxa"/>
            <w:shd w:val="clear" w:color="FFFFFF" w:fill="auto"/>
            <w:vAlign w:val="bottom"/>
          </w:tcPr>
          <w:p w:rsidR="00C617CE" w:rsidRDefault="00C617CE"/>
        </w:tc>
        <w:tc>
          <w:tcPr>
            <w:tcW w:w="1694" w:type="dxa"/>
            <w:shd w:val="clear" w:color="FFFFFF" w:fill="auto"/>
            <w:vAlign w:val="bottom"/>
          </w:tcPr>
          <w:p w:rsidR="00C617CE" w:rsidRDefault="00C617CE"/>
        </w:tc>
        <w:tc>
          <w:tcPr>
            <w:tcW w:w="1412" w:type="dxa"/>
            <w:shd w:val="clear" w:color="FFFFFF" w:fill="auto"/>
            <w:vAlign w:val="bottom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C617CE" w:rsidRDefault="00142847" w:rsidP="0014284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И.О. Куликова</w:t>
            </w:r>
          </w:p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225"/>
        </w:trPr>
        <w:tc>
          <w:tcPr>
            <w:tcW w:w="413" w:type="dxa"/>
            <w:shd w:val="clear" w:color="FFFFFF" w:fill="auto"/>
            <w:vAlign w:val="bottom"/>
          </w:tcPr>
          <w:p w:rsidR="00C617CE" w:rsidRDefault="00C617CE"/>
        </w:tc>
        <w:tc>
          <w:tcPr>
            <w:tcW w:w="2291" w:type="dxa"/>
            <w:shd w:val="clear" w:color="FFFFFF" w:fill="auto"/>
            <w:vAlign w:val="bottom"/>
          </w:tcPr>
          <w:p w:rsidR="00C617CE" w:rsidRDefault="00C617CE"/>
        </w:tc>
        <w:tc>
          <w:tcPr>
            <w:tcW w:w="2597" w:type="dxa"/>
            <w:shd w:val="clear" w:color="FFFFFF" w:fill="auto"/>
            <w:vAlign w:val="bottom"/>
          </w:tcPr>
          <w:p w:rsidR="00C617CE" w:rsidRDefault="00C617CE"/>
        </w:tc>
        <w:tc>
          <w:tcPr>
            <w:tcW w:w="642" w:type="dxa"/>
            <w:shd w:val="clear" w:color="FFFFFF" w:fill="auto"/>
            <w:vAlign w:val="bottom"/>
          </w:tcPr>
          <w:p w:rsidR="00C617CE" w:rsidRDefault="00C617CE"/>
        </w:tc>
        <w:tc>
          <w:tcPr>
            <w:tcW w:w="712" w:type="dxa"/>
            <w:shd w:val="clear" w:color="FFFFFF" w:fill="auto"/>
            <w:vAlign w:val="bottom"/>
          </w:tcPr>
          <w:p w:rsidR="00C617CE" w:rsidRDefault="00C617CE"/>
        </w:tc>
        <w:tc>
          <w:tcPr>
            <w:tcW w:w="917" w:type="dxa"/>
            <w:shd w:val="clear" w:color="FFFFFF" w:fill="auto"/>
            <w:vAlign w:val="bottom"/>
          </w:tcPr>
          <w:p w:rsidR="00C617CE" w:rsidRDefault="00C617CE"/>
        </w:tc>
        <w:tc>
          <w:tcPr>
            <w:tcW w:w="1694" w:type="dxa"/>
            <w:shd w:val="clear" w:color="FFFFFF" w:fill="auto"/>
            <w:vAlign w:val="bottom"/>
          </w:tcPr>
          <w:p w:rsidR="00C617CE" w:rsidRDefault="00C617CE"/>
        </w:tc>
        <w:tc>
          <w:tcPr>
            <w:tcW w:w="1412" w:type="dxa"/>
            <w:shd w:val="clear" w:color="FFFFFF" w:fill="auto"/>
            <w:vAlign w:val="bottom"/>
          </w:tcPr>
          <w:p w:rsidR="00C617CE" w:rsidRDefault="00C617CE"/>
        </w:tc>
      </w:tr>
      <w:tr w:rsidR="00C617CE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225"/>
        </w:trPr>
        <w:tc>
          <w:tcPr>
            <w:tcW w:w="413" w:type="dxa"/>
            <w:shd w:val="clear" w:color="FFFFFF" w:fill="auto"/>
            <w:vAlign w:val="bottom"/>
          </w:tcPr>
          <w:p w:rsidR="00C617CE" w:rsidRDefault="00C617CE"/>
        </w:tc>
        <w:tc>
          <w:tcPr>
            <w:tcW w:w="2291" w:type="dxa"/>
            <w:shd w:val="clear" w:color="FFFFFF" w:fill="auto"/>
            <w:vAlign w:val="bottom"/>
          </w:tcPr>
          <w:p w:rsidR="00C617CE" w:rsidRDefault="00C617CE"/>
        </w:tc>
        <w:tc>
          <w:tcPr>
            <w:tcW w:w="2597" w:type="dxa"/>
            <w:shd w:val="clear" w:color="FFFFFF" w:fill="auto"/>
            <w:vAlign w:val="bottom"/>
          </w:tcPr>
          <w:p w:rsidR="00C617CE" w:rsidRDefault="00C617CE"/>
        </w:tc>
        <w:tc>
          <w:tcPr>
            <w:tcW w:w="642" w:type="dxa"/>
            <w:shd w:val="clear" w:color="FFFFFF" w:fill="auto"/>
            <w:vAlign w:val="bottom"/>
          </w:tcPr>
          <w:p w:rsidR="00C617CE" w:rsidRDefault="00C617CE"/>
        </w:tc>
        <w:tc>
          <w:tcPr>
            <w:tcW w:w="712" w:type="dxa"/>
            <w:shd w:val="clear" w:color="FFFFFF" w:fill="auto"/>
            <w:vAlign w:val="bottom"/>
          </w:tcPr>
          <w:p w:rsidR="00C617CE" w:rsidRDefault="00C617CE"/>
        </w:tc>
        <w:tc>
          <w:tcPr>
            <w:tcW w:w="917" w:type="dxa"/>
            <w:shd w:val="clear" w:color="FFFFFF" w:fill="auto"/>
            <w:vAlign w:val="bottom"/>
          </w:tcPr>
          <w:p w:rsidR="00C617CE" w:rsidRDefault="00C617CE"/>
        </w:tc>
        <w:tc>
          <w:tcPr>
            <w:tcW w:w="1694" w:type="dxa"/>
            <w:shd w:val="clear" w:color="FFFFFF" w:fill="auto"/>
            <w:vAlign w:val="bottom"/>
          </w:tcPr>
          <w:p w:rsidR="00C617CE" w:rsidRDefault="00C617CE"/>
        </w:tc>
        <w:tc>
          <w:tcPr>
            <w:tcW w:w="1412" w:type="dxa"/>
            <w:shd w:val="clear" w:color="FFFFFF" w:fill="auto"/>
            <w:vAlign w:val="bottom"/>
          </w:tcPr>
          <w:p w:rsidR="00C617CE" w:rsidRDefault="00C617CE"/>
        </w:tc>
      </w:tr>
      <w:tr w:rsidR="00C617CE" w:rsidRPr="00142847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142847" w:rsidRDefault="0014284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42847" w:rsidRDefault="0014284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42847" w:rsidRDefault="0014284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42847" w:rsidRDefault="0014284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42847" w:rsidRDefault="0014284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42847" w:rsidRDefault="0014284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42847" w:rsidRDefault="0014284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42847" w:rsidRDefault="0014284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17CE" w:rsidRPr="00142847" w:rsidRDefault="00142847">
            <w:pPr>
              <w:rPr>
                <w:sz w:val="18"/>
                <w:szCs w:val="18"/>
              </w:rPr>
            </w:pPr>
            <w:r w:rsidRPr="00142847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</w:tc>
      </w:tr>
      <w:tr w:rsidR="00C617CE" w:rsidRPr="00142847" w:rsidTr="0014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C617CE" w:rsidRPr="00142847" w:rsidRDefault="00142847">
            <w:pPr>
              <w:rPr>
                <w:sz w:val="18"/>
                <w:szCs w:val="18"/>
              </w:rPr>
            </w:pPr>
            <w:r w:rsidRPr="00142847">
              <w:rPr>
                <w:rFonts w:ascii="Times New Roman" w:hAnsi="Times New Roman"/>
                <w:sz w:val="18"/>
                <w:szCs w:val="18"/>
              </w:rPr>
              <w:t xml:space="preserve">Алешечкина Екатерина Александровна, тел. </w:t>
            </w:r>
            <w:r w:rsidRPr="00142847">
              <w:rPr>
                <w:rFonts w:ascii="Times New Roman" w:hAnsi="Times New Roman"/>
                <w:sz w:val="18"/>
                <w:szCs w:val="18"/>
              </w:rPr>
              <w:t>220-16-04</w:t>
            </w:r>
          </w:p>
        </w:tc>
      </w:tr>
    </w:tbl>
    <w:p w:rsidR="00000000" w:rsidRPr="00142847" w:rsidRDefault="00142847">
      <w:pPr>
        <w:rPr>
          <w:sz w:val="18"/>
          <w:szCs w:val="18"/>
        </w:rPr>
      </w:pPr>
    </w:p>
    <w:sectPr w:rsidR="00000000" w:rsidRPr="00142847" w:rsidSect="00142847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17CE"/>
    <w:rsid w:val="00142847"/>
    <w:rsid w:val="00C6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617C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1886</Words>
  <Characters>10755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2017-12-08T04:25:00Z</dcterms:created>
  <dcterms:modified xsi:type="dcterms:W3CDTF">2017-12-08T04:28:00Z</dcterms:modified>
</cp:coreProperties>
</file>