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"/>
        <w:gridCol w:w="28"/>
        <w:gridCol w:w="1703"/>
        <w:gridCol w:w="301"/>
        <w:gridCol w:w="1767"/>
        <w:gridCol w:w="562"/>
        <w:gridCol w:w="138"/>
        <w:gridCol w:w="531"/>
        <w:gridCol w:w="229"/>
        <w:gridCol w:w="605"/>
        <w:gridCol w:w="334"/>
        <w:gridCol w:w="707"/>
        <w:gridCol w:w="906"/>
        <w:gridCol w:w="911"/>
        <w:gridCol w:w="1541"/>
      </w:tblGrid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75" w:type="dxa"/>
            <w:gridSpan w:val="4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RP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Pr="00ED1AFF" w:rsidRDefault="00ED1AF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1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1A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1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1A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1A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1A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</w:tr>
      <w:tr w:rsidR="00B70086" w:rsidRP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Pr="00ED1AFF" w:rsidRDefault="00ED1AFF">
            <w:pPr>
              <w:jc w:val="center"/>
              <w:rPr>
                <w:lang w:val="en-US"/>
              </w:rPr>
            </w:pPr>
            <w:r w:rsidRPr="00ED1AF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B70086" w:rsidRPr="00ED1AFF" w:rsidRDefault="00B70086">
            <w:pPr>
              <w:rPr>
                <w:lang w:val="en-US"/>
              </w:rPr>
            </w:pPr>
          </w:p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 w:rsidP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200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232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71" w:type="dxa"/>
            <w:gridSpan w:val="6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200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232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669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834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041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817" w:type="dxa"/>
            <w:gridSpan w:val="2"/>
            <w:shd w:val="clear" w:color="FFFFFF" w:fill="auto"/>
            <w:vAlign w:val="bottom"/>
          </w:tcPr>
          <w:p w:rsidR="00B70086" w:rsidRDefault="00B70086"/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2" w:type="dxa"/>
            <w:gridSpan w:val="14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1" w:type="dxa"/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</w:t>
            </w:r>
          </w:p>
        </w:tc>
        <w:tc>
          <w:tcPr>
            <w:tcW w:w="23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Diaton-SYS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Diluent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Диатон-СИС-Дилюент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л). Изотонический раствор.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Упаковка-пластиковая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канистра 20 л., внешняя упаковка- коробка.</w:t>
            </w:r>
          </w:p>
        </w:tc>
        <w:tc>
          <w:tcPr>
            <w:tcW w:w="6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B70086">
            <w:pPr>
              <w:jc w:val="center"/>
            </w:pPr>
          </w:p>
        </w:tc>
        <w:tc>
          <w:tcPr>
            <w:tcW w:w="181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B70086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Диастромлайзер-СИС-ФБА</w:t>
            </w:r>
            <w:proofErr w:type="spellEnd"/>
          </w:p>
        </w:tc>
        <w:tc>
          <w:tcPr>
            <w:tcW w:w="23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применяется для разрушения эритроцитов и уменьшения размеров всех видов лейкоцитов,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исключением базофилов. Применяется для подготовки образца крови к подсчету базофилов на гематологическом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Сисмекс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ХT-2000/4000 Фасовка 5 л. Стабильность закрытого реагента 12 месяцев. Стабильность вскрытого реагента 60 суток.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Условия хранения: 2</w:t>
            </w:r>
            <w:r>
              <w:rPr>
                <w:rFonts w:ascii="Times New Roman" w:hAnsi="Times New Roman"/>
                <w:sz w:val="24"/>
                <w:szCs w:val="24"/>
              </w:rPr>
              <w:t>5 °С в темном месте.</w:t>
            </w:r>
          </w:p>
        </w:tc>
        <w:tc>
          <w:tcPr>
            <w:tcW w:w="6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B70086">
            <w:pPr>
              <w:jc w:val="center"/>
            </w:pPr>
          </w:p>
        </w:tc>
        <w:tc>
          <w:tcPr>
            <w:tcW w:w="181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B70086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086" w:rsidRDefault="00B70086"/>
        </w:tc>
      </w:tr>
      <w:tr w:rsidR="00B70086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Диастромлайзер-СИС-4ДС-Дай</w:t>
            </w:r>
          </w:p>
        </w:tc>
        <w:tc>
          <w:tcPr>
            <w:tcW w:w="23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 w:rsidP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Diastromlyser-SYS-4DS-Dye, 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окрашивания лейкоцитов. Упаковка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флаконы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42 мл., внешняя упаковка-коробка.</w:t>
            </w:r>
          </w:p>
        </w:tc>
        <w:tc>
          <w:tcPr>
            <w:tcW w:w="6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ED1AF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B70086">
            <w:pPr>
              <w:jc w:val="center"/>
            </w:pPr>
          </w:p>
        </w:tc>
        <w:tc>
          <w:tcPr>
            <w:tcW w:w="181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086" w:rsidRDefault="00B70086">
            <w:pPr>
              <w:jc w:val="center"/>
            </w:pPr>
          </w:p>
        </w:tc>
        <w:tc>
          <w:tcPr>
            <w:tcW w:w="1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086" w:rsidRDefault="00B70086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1AFF" w:rsidRDefault="00ED1AFF" w:rsidP="001166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AFF" w:rsidRDefault="00ED1AFF" w:rsidP="00116671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 но не позднее 20.12.2018 г., по графику.</w:t>
            </w:r>
          </w:p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731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6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939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452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1AFF" w:rsidRDefault="00ED1AFF" w:rsidP="001166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AFF" w:rsidRDefault="00ED1AFF" w:rsidP="001166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731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6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939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452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1AFF" w:rsidRDefault="00ED1AFF" w:rsidP="001166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AFF" w:rsidRDefault="00ED1AFF" w:rsidP="001166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731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6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939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452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1AFF" w:rsidRDefault="00ED1AFF" w:rsidP="0011667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731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6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939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452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1AFF" w:rsidRDefault="00ED1AFF" w:rsidP="001166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 /Куликова И.О./</w:t>
            </w:r>
          </w:p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731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6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939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452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731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6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939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452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731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068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0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760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939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  <w:tc>
          <w:tcPr>
            <w:tcW w:w="2452" w:type="dxa"/>
            <w:gridSpan w:val="2"/>
            <w:shd w:val="clear" w:color="FFFFFF" w:fill="auto"/>
            <w:vAlign w:val="bottom"/>
          </w:tcPr>
          <w:p w:rsidR="00ED1AFF" w:rsidRDefault="00ED1AFF" w:rsidP="00116671"/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1AFF" w:rsidRDefault="00ED1AFF" w:rsidP="001166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1AFF" w:rsidTr="00ED1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ED1AFF" w:rsidRDefault="00ED1AFF" w:rsidP="00116671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ED1AFF"/>
    <w:sectPr w:rsidR="00000000" w:rsidSect="00B700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70086"/>
    <w:rsid w:val="00B70086"/>
    <w:rsid w:val="00ED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7008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2018-07-12T03:44:00Z</dcterms:created>
  <dcterms:modified xsi:type="dcterms:W3CDTF">2018-07-12T03:45:00Z</dcterms:modified>
</cp:coreProperties>
</file>