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6"/>
        <w:gridCol w:w="1771"/>
        <w:gridCol w:w="3360"/>
        <w:gridCol w:w="723"/>
        <w:gridCol w:w="611"/>
        <w:gridCol w:w="874"/>
        <w:gridCol w:w="1697"/>
        <w:gridCol w:w="1381"/>
      </w:tblGrid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RPr="009F7577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Pr="00B81EC1" w:rsidRDefault="00B81EC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1E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1E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1E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1E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1E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1E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23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  <w:tc>
          <w:tcPr>
            <w:tcW w:w="874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</w:tr>
      <w:tr w:rsidR="009312EA" w:rsidRPr="009F7577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Pr="00B81EC1" w:rsidRDefault="00B81EC1">
            <w:pPr>
              <w:jc w:val="center"/>
              <w:rPr>
                <w:lang w:val="en-US"/>
              </w:rPr>
            </w:pPr>
            <w:r w:rsidRPr="00B81EC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  <w:tc>
          <w:tcPr>
            <w:tcW w:w="874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312EA" w:rsidRPr="00B81EC1" w:rsidRDefault="009312EA">
            <w:pPr>
              <w:rPr>
                <w:lang w:val="en-US"/>
              </w:rPr>
            </w:pPr>
          </w:p>
        </w:tc>
      </w:tr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1351C1" w:rsidP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  <w:r w:rsidR="00B81EC1">
              <w:rPr>
                <w:rFonts w:ascii="Times New Roman" w:hAnsi="Times New Roman"/>
                <w:sz w:val="24"/>
                <w:szCs w:val="24"/>
              </w:rPr>
              <w:t>.2018 г. №.</w:t>
            </w:r>
            <w:r>
              <w:rPr>
                <w:rFonts w:ascii="Times New Roman" w:hAnsi="Times New Roman"/>
                <w:sz w:val="24"/>
                <w:szCs w:val="24"/>
              </w:rPr>
              <w:t>1280</w:t>
            </w:r>
            <w:r w:rsidR="00B81EC1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312EA" w:rsidRDefault="009312EA"/>
        </w:tc>
        <w:tc>
          <w:tcPr>
            <w:tcW w:w="1771" w:type="dxa"/>
            <w:shd w:val="clear" w:color="FFFFFF" w:fill="auto"/>
            <w:vAlign w:val="bottom"/>
          </w:tcPr>
          <w:p w:rsidR="009312EA" w:rsidRDefault="009312EA"/>
        </w:tc>
        <w:tc>
          <w:tcPr>
            <w:tcW w:w="3360" w:type="dxa"/>
            <w:shd w:val="clear" w:color="FFFFFF" w:fill="auto"/>
            <w:vAlign w:val="bottom"/>
          </w:tcPr>
          <w:p w:rsidR="009312EA" w:rsidRDefault="009312EA"/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312EA" w:rsidRDefault="009312EA"/>
        </w:tc>
        <w:tc>
          <w:tcPr>
            <w:tcW w:w="1771" w:type="dxa"/>
            <w:shd w:val="clear" w:color="FFFFFF" w:fill="auto"/>
            <w:vAlign w:val="bottom"/>
          </w:tcPr>
          <w:p w:rsidR="009312EA" w:rsidRDefault="009312EA"/>
        </w:tc>
        <w:tc>
          <w:tcPr>
            <w:tcW w:w="3360" w:type="dxa"/>
            <w:shd w:val="clear" w:color="FFFFFF" w:fill="auto"/>
            <w:vAlign w:val="bottom"/>
          </w:tcPr>
          <w:p w:rsidR="009312EA" w:rsidRDefault="009312EA"/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t>1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пункционная 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="009F7577"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 w:rsidR="009F7577"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 w:rsidR="009F7577"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 w:rsidR="009F7577">
              <w:rPr>
                <w:rFonts w:ascii="Times New Roman" w:hAnsi="Times New Roman"/>
                <w:sz w:val="24"/>
                <w:szCs w:val="24"/>
              </w:rPr>
              <w:t xml:space="preserve">, сталь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Пункционная двухсоставная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рентген-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18 G, длина 20 см. Стерильная. Одноразовая.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6 боковых отверстий на петле, расположенных в шахматном порядке, торцевое отверстие, градуировка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),имеющий двухслойную структуру - внутренний слой жесткий, для лучшего проведения по проводнику, наружный слой мягкий, для комфорта пациента, 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двухходовый, 100% силикон, имплантация до 90 суток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100% 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двух боковых отверстий. Дистальный конец катетера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любого типа. Тройная стерилизация катетера, длительность использования до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чрезобтураторной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сетчатого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уретру без проводников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набора входит: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Цельновязанный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30 см; лента из полипропиленовых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0,1 мм, макропористой структурой. Край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петель. На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петлеобразные проводники из хирургических нитей. Цвет: бело – синий, толщина: 0,40 мм, объемная пористость: 70 %, поверхностная плотность: 65 г/м2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чрезобтураторной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сетчатого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уретру без проводников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набора входит: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Цельновязанный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50 см; лента из полипропиленовых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0,1 мм, макропористой структурой. Край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петель. На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петлеобразные проводники из хирургических нитей. Цвет: бело – синий, толщина: 0,40 мм, объемная пористость: 70 %, поверхностная плотность: 65 г/м2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07 длительной имплантации 12 месяцев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двойная петля для внутреннего дренирования верхних отделов мочевыводящей системы, открытый/закрытый, длина 26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петлях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 внутренний слой жесткий, для лучшего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по проводнику, наружный слой мягкий, для комфорта пациента,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жесткий, длина 150см, диаметр 0,035", материал сталь с тефлоновым покрытием; соединяющийся толкатель, позволяющий перемещать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06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имплантациии</w:t>
            </w:r>
            <w:proofErr w:type="spellEnd"/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хирургический, для ретроградного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см из полиуретана, "двойной хвост",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белый, с зарытым дистальным концом. Длина прямой части 25 см, размер СН 6, дренажные отверстия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сантиметровая разметка, линия для определения направления загиба конца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черная маркировка на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Толкатель из полиуретана, длина не менее 45 см, струна проводник с пластиковым покрытием, длиной 900 мм, пластиковый зажим,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биосовместимым с возможностью нахождения в теле пациента не менее 365 дней;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повышенная дренирующая способность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мочевого пузыря должен быть мягче материала со стороны почки. Перфорации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с подвижным 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тефлоновым покрытием, тип проводника - прямой наконечник, проводник с подвижным сердечником, длина проводника 150 см, диаметр 0,035", жесткость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Проводник-струна для установки катетеров. Изготовлен из нержавеющей стали, с тефлоновым покрытием, диаметром 0,035 дюйма. Длина 100 см, с прямым наконечником и неподвижным сердечником, жесткой частью 30 см, гибкой частью 7 см. Компактная стерильная упаковка. Не содержит латекса.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ПТФЭ-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и гибким проксимальным концом 0,035"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проводника, должны быть предусмотрены как минимум следующие  конструктивные особенности: сердечник проводника изготовлен из сплава никеля и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материала с аналогичными свойствами для обеспечения стойкости к излому и улучшения управления; проводник имеет 3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 и 5 см гидрофильное покрытие; проксимальный кончик проводника гибкий для предотвращения повреждения канала эндоскопа;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не менее 145 см и не более 155 см. Стерильный. Одноразовый.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135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сверхжесткий с покрытием ПТФЭ 0,035"</w:t>
            </w:r>
            <w:r w:rsidR="009F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577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  конструктивные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особенности: сердечник проводника изготовлен из стали или материала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проводника не менее 142,5 см и не более 147,5 см. Стерильный. Одноразовый.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B81E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2EA" w:rsidRDefault="009312EA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2EA" w:rsidRDefault="009312EA"/>
        </w:tc>
      </w:tr>
      <w:tr w:rsidR="009312EA" w:rsidTr="009F7577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9312EA" w:rsidRDefault="009312EA"/>
        </w:tc>
        <w:tc>
          <w:tcPr>
            <w:tcW w:w="1771" w:type="dxa"/>
            <w:shd w:val="clear" w:color="FFFFFF" w:fill="auto"/>
            <w:vAlign w:val="bottom"/>
          </w:tcPr>
          <w:p w:rsidR="009312EA" w:rsidRDefault="009312EA"/>
        </w:tc>
        <w:tc>
          <w:tcPr>
            <w:tcW w:w="3360" w:type="dxa"/>
            <w:shd w:val="clear" w:color="FFFFFF" w:fill="auto"/>
            <w:vAlign w:val="bottom"/>
          </w:tcPr>
          <w:p w:rsidR="009312EA" w:rsidRDefault="009312EA"/>
        </w:tc>
        <w:tc>
          <w:tcPr>
            <w:tcW w:w="723" w:type="dxa"/>
            <w:shd w:val="clear" w:color="FFFFFF" w:fill="auto"/>
            <w:vAlign w:val="bottom"/>
          </w:tcPr>
          <w:p w:rsidR="009312EA" w:rsidRDefault="009312EA"/>
        </w:tc>
        <w:tc>
          <w:tcPr>
            <w:tcW w:w="611" w:type="dxa"/>
            <w:shd w:val="clear" w:color="FFFFFF" w:fill="auto"/>
            <w:vAlign w:val="bottom"/>
          </w:tcPr>
          <w:p w:rsidR="009312EA" w:rsidRDefault="009312EA"/>
        </w:tc>
        <w:tc>
          <w:tcPr>
            <w:tcW w:w="874" w:type="dxa"/>
            <w:shd w:val="clear" w:color="FFFFFF" w:fill="auto"/>
            <w:vAlign w:val="bottom"/>
          </w:tcPr>
          <w:p w:rsidR="009312EA" w:rsidRDefault="009312EA"/>
        </w:tc>
        <w:tc>
          <w:tcPr>
            <w:tcW w:w="1697" w:type="dxa"/>
            <w:shd w:val="clear" w:color="FFFFFF" w:fill="auto"/>
            <w:vAlign w:val="bottom"/>
          </w:tcPr>
          <w:p w:rsidR="009312EA" w:rsidRDefault="009312EA"/>
        </w:tc>
        <w:tc>
          <w:tcPr>
            <w:tcW w:w="1381" w:type="dxa"/>
            <w:shd w:val="clear" w:color="FFFFFF" w:fill="auto"/>
            <w:vAlign w:val="bottom"/>
          </w:tcPr>
          <w:p w:rsidR="009312EA" w:rsidRDefault="009312EA"/>
        </w:tc>
      </w:tr>
    </w:tbl>
    <w:tbl>
      <w:tblPr>
        <w:tblStyle w:val="TableStyle01"/>
        <w:tblW w:w="107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2408"/>
        <w:gridCol w:w="2514"/>
        <w:gridCol w:w="558"/>
        <w:gridCol w:w="722"/>
        <w:gridCol w:w="935"/>
        <w:gridCol w:w="1750"/>
        <w:gridCol w:w="1452"/>
      </w:tblGrid>
      <w:tr w:rsidR="00B81EC1" w:rsidRPr="00B81EC1" w:rsidTr="00B81EC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1EC1" w:rsidRPr="00B81EC1" w:rsidRDefault="00B81EC1" w:rsidP="00B81EC1">
            <w:r w:rsidRPr="00B81EC1">
              <w:rPr>
                <w:rFonts w:ascii="Times New Roman" w:hAnsi="Times New Roman"/>
                <w:sz w:val="28"/>
                <w:szCs w:val="28"/>
              </w:rPr>
              <w:t>Срок поставки: 2019г., по потребности Заказчика.</w:t>
            </w:r>
          </w:p>
        </w:tc>
      </w:tr>
      <w:tr w:rsidR="00B81EC1" w:rsidRPr="00B81EC1" w:rsidTr="00B81EC1">
        <w:trPr>
          <w:trHeight w:val="120"/>
        </w:trPr>
        <w:tc>
          <w:tcPr>
            <w:tcW w:w="435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2408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2514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558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722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935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1750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1451" w:type="dxa"/>
            <w:shd w:val="clear" w:color="FFFFFF" w:fill="auto"/>
            <w:vAlign w:val="bottom"/>
          </w:tcPr>
          <w:p w:rsidR="00B81EC1" w:rsidRPr="00B81EC1" w:rsidRDefault="00B81EC1" w:rsidP="00B81EC1"/>
        </w:tc>
      </w:tr>
      <w:tr w:rsidR="00B81EC1" w:rsidRPr="00B81EC1" w:rsidTr="00B81EC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1EC1" w:rsidRPr="00B81EC1" w:rsidRDefault="00B81EC1" w:rsidP="00B81EC1">
            <w:pPr>
              <w:jc w:val="both"/>
            </w:pPr>
            <w:r w:rsidRPr="00B81EC1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B81EC1" w:rsidRPr="00B81EC1" w:rsidTr="00B81EC1">
        <w:trPr>
          <w:trHeight w:val="120"/>
        </w:trPr>
        <w:tc>
          <w:tcPr>
            <w:tcW w:w="435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2408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2514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558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722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935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1750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1451" w:type="dxa"/>
            <w:shd w:val="clear" w:color="FFFFFF" w:fill="auto"/>
            <w:vAlign w:val="bottom"/>
          </w:tcPr>
          <w:p w:rsidR="00B81EC1" w:rsidRPr="00B81EC1" w:rsidRDefault="00B81EC1" w:rsidP="00B81EC1"/>
        </w:tc>
      </w:tr>
      <w:tr w:rsidR="00B81EC1" w:rsidRPr="00B81EC1" w:rsidTr="00B81EC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1EC1" w:rsidRPr="00B81EC1" w:rsidRDefault="00B81EC1" w:rsidP="00B81EC1">
            <w:pPr>
              <w:jc w:val="both"/>
            </w:pPr>
            <w:r w:rsidRPr="00B81EC1"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1EC1" w:rsidRPr="00B81EC1" w:rsidTr="00B81EC1">
        <w:trPr>
          <w:trHeight w:val="165"/>
        </w:trPr>
        <w:tc>
          <w:tcPr>
            <w:tcW w:w="435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2408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2514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558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722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935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1750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1451" w:type="dxa"/>
            <w:shd w:val="clear" w:color="FFFFFF" w:fill="auto"/>
            <w:vAlign w:val="bottom"/>
          </w:tcPr>
          <w:p w:rsidR="00B81EC1" w:rsidRPr="00B81EC1" w:rsidRDefault="00B81EC1" w:rsidP="00B81EC1"/>
        </w:tc>
      </w:tr>
      <w:tr w:rsidR="00B81EC1" w:rsidRPr="00B81EC1" w:rsidTr="00B81EC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1EC1" w:rsidRPr="00B81EC1" w:rsidRDefault="00B81EC1" w:rsidP="00B81EC1">
            <w:pPr>
              <w:rPr>
                <w:rFonts w:ascii="Times New Roman" w:hAnsi="Times New Roman"/>
                <w:sz w:val="28"/>
                <w:szCs w:val="28"/>
              </w:rPr>
            </w:pPr>
            <w:r w:rsidRPr="00B81EC1"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351C1">
              <w:rPr>
                <w:rFonts w:ascii="Times New Roman" w:hAnsi="Times New Roman"/>
                <w:sz w:val="28"/>
                <w:szCs w:val="28"/>
              </w:rPr>
              <w:t>14.11</w:t>
            </w:r>
            <w:r w:rsidRPr="00B81EC1">
              <w:rPr>
                <w:rFonts w:ascii="Times New Roman" w:hAnsi="Times New Roman"/>
                <w:sz w:val="28"/>
                <w:szCs w:val="28"/>
              </w:rPr>
              <w:t>.2018 17:00 по местному времени.</w:t>
            </w:r>
          </w:p>
          <w:p w:rsidR="00B81EC1" w:rsidRPr="00B81EC1" w:rsidRDefault="00B81EC1" w:rsidP="00B81E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EC1" w:rsidRPr="00B81EC1" w:rsidRDefault="00B81EC1" w:rsidP="00B81EC1"/>
        </w:tc>
      </w:tr>
      <w:tr w:rsidR="00B81EC1" w:rsidRPr="00B81EC1" w:rsidTr="00B81EC1"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2408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2514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558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722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935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1750" w:type="dxa"/>
            <w:shd w:val="clear" w:color="FFFFFF" w:fill="auto"/>
            <w:vAlign w:val="bottom"/>
          </w:tcPr>
          <w:p w:rsidR="00B81EC1" w:rsidRPr="00B81EC1" w:rsidRDefault="00B81EC1" w:rsidP="00B81EC1"/>
        </w:tc>
        <w:tc>
          <w:tcPr>
            <w:tcW w:w="1451" w:type="dxa"/>
            <w:shd w:val="clear" w:color="FFFFFF" w:fill="auto"/>
            <w:vAlign w:val="bottom"/>
          </w:tcPr>
          <w:p w:rsidR="00B81EC1" w:rsidRPr="00B81EC1" w:rsidRDefault="00B81EC1" w:rsidP="00B81EC1"/>
        </w:tc>
      </w:tr>
      <w:tr w:rsidR="00B81EC1" w:rsidRPr="00B81EC1" w:rsidTr="00B81EC1">
        <w:trPr>
          <w:trHeight w:val="60"/>
        </w:trPr>
        <w:tc>
          <w:tcPr>
            <w:tcW w:w="10774" w:type="dxa"/>
            <w:gridSpan w:val="8"/>
            <w:shd w:val="clear" w:color="FFFFFF" w:fill="auto"/>
          </w:tcPr>
          <w:tbl>
            <w:tblPr>
              <w:tblStyle w:val="TableStyle0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773"/>
            </w:tblGrid>
            <w:tr w:rsidR="00B81EC1" w:rsidRPr="00B81EC1" w:rsidTr="00730509">
              <w:trPr>
                <w:trHeight w:val="60"/>
              </w:trPr>
              <w:tc>
                <w:tcPr>
                  <w:tcW w:w="10773" w:type="dxa"/>
                  <w:shd w:val="clear" w:color="FFFFFF" w:fill="auto"/>
                  <w:vAlign w:val="bottom"/>
                </w:tcPr>
                <w:p w:rsidR="00B81EC1" w:rsidRPr="00B81EC1" w:rsidRDefault="001351C1" w:rsidP="001351C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="00B81EC1" w:rsidRPr="00B81EC1">
                    <w:rPr>
                      <w:rFonts w:ascii="Times New Roman" w:hAnsi="Times New Roman"/>
                      <w:sz w:val="28"/>
                      <w:szCs w:val="28"/>
                    </w:rPr>
                    <w:t>уководител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="00B81EC1" w:rsidRPr="00B81EC1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контрактной службы________________________/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Куликова И.О.</w:t>
                  </w:r>
                </w:p>
              </w:tc>
            </w:tr>
          </w:tbl>
          <w:p w:rsidR="00B81EC1" w:rsidRPr="00B81EC1" w:rsidRDefault="00B81EC1" w:rsidP="00B81EC1"/>
        </w:tc>
      </w:tr>
    </w:tbl>
    <w:p w:rsidR="00B81EC1" w:rsidRPr="00B81EC1" w:rsidRDefault="00B81EC1" w:rsidP="00B81EC1"/>
    <w:p w:rsidR="000C0474" w:rsidRDefault="000C0474"/>
    <w:sectPr w:rsidR="000C047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A"/>
    <w:rsid w:val="000C0474"/>
    <w:rsid w:val="001351C1"/>
    <w:rsid w:val="009312EA"/>
    <w:rsid w:val="009F7577"/>
    <w:rsid w:val="00B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5A146-1B2B-46C9-9631-5035F26C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81EC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2018-11-12T03:35:00Z</dcterms:created>
  <dcterms:modified xsi:type="dcterms:W3CDTF">2018-11-12T03:47:00Z</dcterms:modified>
</cp:coreProperties>
</file>