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86"/>
        <w:gridCol w:w="1634"/>
        <w:gridCol w:w="517"/>
        <w:gridCol w:w="1336"/>
        <w:gridCol w:w="578"/>
        <w:gridCol w:w="634"/>
        <w:gridCol w:w="442"/>
        <w:gridCol w:w="368"/>
        <w:gridCol w:w="89"/>
        <w:gridCol w:w="914"/>
        <w:gridCol w:w="577"/>
        <w:gridCol w:w="166"/>
        <w:gridCol w:w="224"/>
        <w:gridCol w:w="1422"/>
        <w:gridCol w:w="281"/>
        <w:gridCol w:w="1059"/>
      </w:tblGrid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471" w:type="dxa"/>
            <w:gridSpan w:val="3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RP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Pr="00BC4507" w:rsidRDefault="00BC450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</w:tr>
      <w:tr w:rsidR="00FB4448" w:rsidRP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Pr="00BC4507" w:rsidRDefault="00BC4507">
            <w:pPr>
              <w:jc w:val="center"/>
              <w:rPr>
                <w:lang w:val="en-US"/>
              </w:rPr>
            </w:pPr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 w:rsidP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2018 г. №.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1241-18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FB4448" w:rsidRDefault="00FB4448"/>
        </w:tc>
        <w:tc>
          <w:tcPr>
            <w:tcW w:w="2384" w:type="dxa"/>
            <w:gridSpan w:val="3"/>
            <w:shd w:val="clear" w:color="FFFFFF" w:fill="auto"/>
            <w:vAlign w:val="bottom"/>
          </w:tcPr>
          <w:p w:rsidR="00FB4448" w:rsidRDefault="00FB4448"/>
        </w:tc>
        <w:tc>
          <w:tcPr>
            <w:tcW w:w="3051" w:type="dxa"/>
            <w:gridSpan w:val="4"/>
            <w:shd w:val="clear" w:color="FFFFFF" w:fill="auto"/>
            <w:vAlign w:val="bottom"/>
          </w:tcPr>
          <w:p w:rsidR="00FB4448" w:rsidRDefault="00FB4448"/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89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shd w:val="clear" w:color="FFFFFF" w:fill="auto"/>
            <w:vAlign w:val="bottom"/>
          </w:tcPr>
          <w:p w:rsidR="00FB4448" w:rsidRDefault="00FB4448"/>
        </w:tc>
        <w:tc>
          <w:tcPr>
            <w:tcW w:w="2384" w:type="dxa"/>
            <w:gridSpan w:val="3"/>
            <w:shd w:val="clear" w:color="FFFFFF" w:fill="auto"/>
            <w:vAlign w:val="bottom"/>
          </w:tcPr>
          <w:p w:rsidR="00FB4448" w:rsidRDefault="00FB4448"/>
        </w:tc>
        <w:tc>
          <w:tcPr>
            <w:tcW w:w="3051" w:type="dxa"/>
            <w:gridSpan w:val="4"/>
            <w:shd w:val="clear" w:color="FFFFFF" w:fill="auto"/>
            <w:vAlign w:val="bottom"/>
          </w:tcPr>
          <w:p w:rsidR="00FB4448" w:rsidRDefault="00FB4448"/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69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7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06" w:type="dxa"/>
            <w:gridSpan w:val="15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универсальная, ЛЛ, синяя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 3-х недель не теряя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зонда. На дистальном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Эффективная длина 1210 мм.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спинальная 25G, тип «Карандаш», удлиненная с ликвор-идентификатором,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t>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спинальной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анестезии.Материалы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медицинская нержавеющая сталь, поликарбонат, полипропилен. Состав: Игла – тонкостенная, устойчивая на излом, диаметром 25G,  длиной не менее 103 мм, с колющим срезом дистального конч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типа "Карандаш";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-овальной формы с дополнительными пальцевыми упорами и четырьмя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рабочей части иглы; встроенный в наружную часть павильона  специальный выступ-стрелка, указывающий направление среза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(оранжевый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иглы; Игла-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диаметром 20G длиной не более 35 мм, со стандартным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дистального кончика и рифл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еным павильоном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Жен. Упаковка: стерильно упакованная.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спинальная 25G, тип «Карандаш» с ликвор-идентификатором, в комплекте с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Материалы: медицинская нержавеющая сталь, поликарбонат, полипропилен.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Игла – тонкостенная, устойчивая на излом, диаметром 25G, длиной 88 мм, с колющим срезом дистального кончика типа "Карандаш"; двухкомпонентный павильон иглы -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иглы;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утренним диаметром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(оранжевый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иглы; Игл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диаметром 20G, длиной 35 мм, со стандартным 3-хгранным срезом дистального кончика и рифленым павильоном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для внутривенного доступа с удлинителем 21G/0.80 мм, 20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21G/0.80 мм - 20 мм, скорость потока не менее 25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14 с вакуум-контролем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</w:t>
            </w:r>
            <w:r>
              <w:rPr>
                <w:rFonts w:ascii="Times New Roman" w:hAnsi="Times New Roman"/>
                <w:sz w:val="24"/>
                <w:szCs w:val="24"/>
              </w:rPr>
              <w:t>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16 с вакуум-контролем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внутривенного доступа с защитой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укола 24G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</w:t>
            </w:r>
            <w:r>
              <w:rPr>
                <w:rFonts w:ascii="Times New Roman" w:hAnsi="Times New Roman"/>
                <w:sz w:val="24"/>
                <w:szCs w:val="24"/>
              </w:rPr>
              <w:t>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22G с инъекционным портом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полосками, скругленным кончиком, совпадающим с проксимальным срезом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22G - 0.9 мм, длина 25 мм, скоро</w:t>
            </w:r>
            <w:r>
              <w:rPr>
                <w:rFonts w:ascii="Times New Roman" w:hAnsi="Times New Roman"/>
                <w:sz w:val="24"/>
                <w:szCs w:val="24"/>
              </w:rPr>
              <w:t>сть потока не менее 36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конфигурируемый, Y-образный тройник, резервный мешок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для аппарата ИВЛ с 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аппарату ИВЛ. У-образный тройник с портом забора газа для соединения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, стерильный.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дыхательный, линия вдоха и выдоха, линия увлажнителя,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тройник, крепление контура, длина 1,8 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использования с аппаратом ИВЛ. Изготовлен из прозрачного, армированного с внешней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стороны ПВХ, 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клапаном предотвращающим разгерметизацию, тройник-коннектор с портом контроля давления газов в контуре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портом для термометра, заглушки портов, гибкие коннекторы-манжеты со стороны аппарата с разъемом 22F, линия увлажнителя длиной 60 см с гибкими коннекторами- манжетами с разъемом 22F с обеих сторон, угловой коннектор, коннекторы подсоединения 22/15мм, 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контура. Клинически чистая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3-ходовой, 360°, синий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анестезиологическая, средняя взрослая р.4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Анестезиологическая лицевая маска дыхательного 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цветом кожных покровов. Маска снабжена прозрачной,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с выемкой для носа, обеспечивающей герметичное физиологичное прилегание. Манжета мягкая,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оставляет следов на коже. На верхней поверхности маски - стандартный коннектор диаметром 22мм и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под стандартный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прикроватный 2 л,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в наборе, мешок 2 л, трубка 90 см, одноразовый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двухканальным ЦВК 7Fr/16G-16G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 16G (скорость потока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45 мл/мин),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металлический гибкий с маркир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</w:t>
            </w:r>
            <w:r>
              <w:rPr>
                <w:rFonts w:ascii="Times New Roman" w:hAnsi="Times New Roman"/>
                <w:sz w:val="24"/>
                <w:szCs w:val="24"/>
              </w:rPr>
              <w:t>урой.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одноканальным ЦВК 14G/20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см. Канал 1,4 мм, скорость 90 мл/мин. Пункционная игла тонкостенн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крылышки с 2-мя отверстиями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лигатурой. Заглушка с эластичной инъекционной вставкой.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энтерального питания гравитационная, 1000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Коннектор адаптирован к любому размеру питательного зонда; трубка устойчива к слипанию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смеси и камера для визуального контроля;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</w:t>
            </w:r>
            <w:r>
              <w:rPr>
                <w:rFonts w:ascii="Times New Roman" w:hAnsi="Times New Roman"/>
                <w:sz w:val="24"/>
                <w:szCs w:val="24"/>
              </w:rPr>
              <w:t>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вставленный коннектор.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>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дивидуальная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</w:t>
            </w:r>
            <w:r>
              <w:rPr>
                <w:rFonts w:ascii="Times New Roman" w:hAnsi="Times New Roman"/>
                <w:sz w:val="24"/>
                <w:szCs w:val="24"/>
              </w:rPr>
              <w:t>нектор. Внутренний диаметр 8.0 мм,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мм/внутренний 1,5 мм. Объем заполнения 2,6 мл. Резистентность к давл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полости. Пункция плевральной полости с целью удаления различных жидкостей,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воздуха при пневмотораксе, или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V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клапан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клапан для автоматического открытия/закрытия аспирационного канала при подсоединении/отсоединении шприца. Фильтр воздушного канала - диаметр пор 0.45 микрон.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150 мл стерильный (без винтовой нарезки)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поверхности цилиндра, в верхней части, цилиндра имеется стопорное кольцо, препятствующее слу</w:t>
            </w:r>
            <w:r>
              <w:rPr>
                <w:rFonts w:ascii="Times New Roman" w:hAnsi="Times New Roman"/>
                <w:sz w:val="24"/>
                <w:szCs w:val="24"/>
              </w:rPr>
              <w:t>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объемом 50 мл для шприцевых дозаторов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совмест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ЭКГ, диаметр 50 мм,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 мм в диаметре. Площадь соприкосновения электрода на коже 48 мм. Фиксирующая площадь электрода 1963 мм2. Площадь геля 283 мм2. Площадь сенсора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 мм2. Встречный импеданс 110 Ом. Фоновая разность потенциалов электродов 5,3 мВ. Восстановление электропроводных свойств электрода при 3,8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тарных шумах 22,9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</w:t>
            </w:r>
            <w:r>
              <w:rPr>
                <w:rFonts w:ascii="Times New Roman" w:hAnsi="Times New Roman"/>
                <w:sz w:val="24"/>
                <w:szCs w:val="24"/>
              </w:rPr>
              <w:t>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Электропроводный слой - влажный гель. Поднимающийся козырек электрода. Эффективное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функционирования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</w:t>
            </w:r>
            <w:r>
              <w:rPr>
                <w:rFonts w:ascii="Times New Roman" w:hAnsi="Times New Roman"/>
                <w:sz w:val="24"/>
                <w:szCs w:val="24"/>
              </w:rPr>
              <w:t>катетеров. Изготовлен из нержавеющей стали, с тефлоновым покрытием, диаметром 0,035 дюйма. Длина 100 см, с прямым наконечником и неподвижным сердечником, жесткой частью 30 см, гибкой частью 7 см. Компактная стерильная упаковка. Не содержит латекса. Для одн</w:t>
            </w:r>
            <w:r>
              <w:rPr>
                <w:rFonts w:ascii="Times New Roman" w:hAnsi="Times New Roman"/>
                <w:sz w:val="24"/>
                <w:szCs w:val="24"/>
              </w:rPr>
              <w:t>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стерильный фиксирующий с впитывающей подушечкой и прозрачным окном, 9 х 6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адгезивная повязка для фиксации периферических катетеров, размер 9 х 6 см, прямоугольной формы с закругленными краями,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нетканого перфорированного 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 стороны и пленкой (100% полиуретан) с другой, с круглым окошком для визуализации места инъекции. С дополнительной абсорбирующей подушечкой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наборе (75% вискоза, 25% - полипропилен/полиэтилен) для защиты кожи от давления канюли из многослойного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стороны. Сила адгезии 9±3 N/25мм. Повязка выполнена в виде "штанишек", для облегчени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фиксации внутривенных периферических катетеров с дополнительным портом. Клейкий слой повязки снабжен защитной бумагой,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паропроницаема, индивидуально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атравматическая с химотрипсином 7,5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атравматическая из текстильного полотна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открытоячеистой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с парафином. Раневая повязка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стимулирующая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химотрипсином.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/>
                <w:sz w:val="24"/>
                <w:szCs w:val="24"/>
              </w:rPr>
              <w:t>см х 10 см. В упаковке 30 штук.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10 см с ионами серебра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20 см с ионами серебра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20 см.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20 см с перуанским бальзамом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материала - хлопчатобумажная крупноячеистая сетка 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</w:t>
            </w:r>
            <w:r>
              <w:rPr>
                <w:rFonts w:ascii="Times New Roman" w:hAnsi="Times New Roman"/>
                <w:sz w:val="24"/>
                <w:szCs w:val="24"/>
              </w:rPr>
              <w:t>Размер 10 см х 20 см.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 10 х 6 см №25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</w:t>
            </w:r>
            <w:r>
              <w:rPr>
                <w:rFonts w:ascii="Times New Roman" w:hAnsi="Times New Roman"/>
                <w:sz w:val="24"/>
                <w:szCs w:val="24"/>
              </w:rPr>
              <w:t>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65х25мм. В упаковке 25 штук.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 15 х 8 см №25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</w:t>
            </w:r>
            <w:r>
              <w:rPr>
                <w:rFonts w:ascii="Times New Roman" w:hAnsi="Times New Roman"/>
                <w:sz w:val="24"/>
                <w:szCs w:val="24"/>
              </w:rPr>
              <w:t>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</w:t>
            </w:r>
            <w:r>
              <w:rPr>
                <w:rFonts w:ascii="Times New Roman" w:hAnsi="Times New Roman"/>
                <w:sz w:val="24"/>
                <w:szCs w:val="24"/>
              </w:rPr>
              <w:t>ки 110 х 38 мм, допускается отклонение +/-10% от указанных размеров. В упаковке 25 штук.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рану, 25 х 10 см №25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Самоклеящаяся повязка на рану из мягкого нетканого материала с впитывающей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t>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</w:t>
            </w:r>
            <w:r>
              <w:rPr>
                <w:rFonts w:ascii="Times New Roman" w:hAnsi="Times New Roman"/>
                <w:sz w:val="24"/>
                <w:szCs w:val="24"/>
              </w:rPr>
              <w:t>язки. Размер: 25 х 10 см. размер впитывающей подушечки 205 х 55 мм, допускается отклонение +/-10% от указанных размеров. В упаковке 25 штук.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рану, 35 х 10 см №25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каждой повязки. Размер: 35 х 10 см. размер впитывающей подушечки 305 х 55 мм, допускается отклонение +/-10% от указанных размеров. В упаковке 25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липидоколлоидная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 10 х 15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Липидоколлоидная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бактерицидная стерильная повязка для местного лечения острых и хронических ран со слабым и умеренным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инфицированных ран и ран с риском развития вторичной инфекции с содержанием ионов серебра (0,015мг/см2) 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</w:t>
            </w:r>
            <w:r>
              <w:rPr>
                <w:rFonts w:ascii="Times New Roman" w:hAnsi="Times New Roman"/>
                <w:sz w:val="24"/>
                <w:szCs w:val="24"/>
              </w:rPr>
              <w:t>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без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удалении, с применением гидроколлоидных частиц (когезионная способность геля 91%)  для обеспечения влажной среды заживления,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мелкоячеистая основа (размер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сетки 1мм x 1мм) и с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анием частиц парафина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полимеров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(сила адгезии 0,01Н/25мм),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7, защитные полимерные покрытия  с планиметрической сеткой - для оценки размеры раны и процесса заживления, размер 10х15см.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семислойной нетканой волокнистой структуры,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двухсторонняя для смешивания растворов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Двухсторонняя канюля для смешивания растворов. Подходит для стеклянных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пластиковых больших флаконов, резиновых пробок до 6,3 мм и 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Поддерживает высокую скорость потока. Широкие упорные планки.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двухсторонняя для смешивания растворов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Двухсторонняя канюля для смешивания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стерильных растворов между стандартными флаконами (диаметр крышки 20 мм). Совместима с флаконами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Экофлак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Плюс. Обеспечивает надежное соединение между флаконами.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Pr="00BC4507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абдоминальный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 перевязочный набор для абдоминальной хирургии. В состав набора входят: защитное покрытие для органов брюшной полости, диаметром 65 см., с микроперфорацией и карманами для удобства наложения; полиуретановые губки черного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перфорацией, размером 38 х 25 х 1,6 см., 2 штуки; соединительный дренажный порт; фиксирующие пленки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размером 20 x 30 см, 6 шт. В упаковке 5 наборов.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 венозный для внутривенных манипуляций с застежкой, взрослый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>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вызывает боли и ущемления кожи и одежды.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5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BC4507" w:rsidRDefault="00BC4507" w:rsidP="00BC4507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BC4507" w:rsidRDefault="00BC45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BC4507" w:rsidRDefault="00BC45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07.11.2018 17:00:00 по местному времени.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36" w:type="dxa"/>
            <w:gridSpan w:val="2"/>
            <w:vAlign w:val="bottom"/>
          </w:tcPr>
          <w:p w:rsidR="00BC4507" w:rsidRDefault="00BC4507"/>
        </w:tc>
        <w:tc>
          <w:tcPr>
            <w:tcW w:w="1616" w:type="dxa"/>
            <w:vAlign w:val="bottom"/>
          </w:tcPr>
          <w:p w:rsidR="00BC4507" w:rsidRDefault="00BC4507"/>
        </w:tc>
        <w:tc>
          <w:tcPr>
            <w:tcW w:w="1892" w:type="dxa"/>
            <w:gridSpan w:val="2"/>
            <w:vAlign w:val="bottom"/>
          </w:tcPr>
          <w:p w:rsidR="00BC4507" w:rsidRDefault="00BC4507"/>
        </w:tc>
        <w:tc>
          <w:tcPr>
            <w:tcW w:w="585" w:type="dxa"/>
            <w:vAlign w:val="bottom"/>
          </w:tcPr>
          <w:p w:rsidR="00BC4507" w:rsidRDefault="00BC4507"/>
        </w:tc>
        <w:tc>
          <w:tcPr>
            <w:tcW w:w="699" w:type="dxa"/>
            <w:vAlign w:val="bottom"/>
          </w:tcPr>
          <w:p w:rsidR="00BC4507" w:rsidRDefault="00BC4507"/>
        </w:tc>
        <w:tc>
          <w:tcPr>
            <w:tcW w:w="839" w:type="dxa"/>
            <w:gridSpan w:val="2"/>
            <w:vAlign w:val="bottom"/>
          </w:tcPr>
          <w:p w:rsidR="00BC4507" w:rsidRDefault="00BC4507"/>
        </w:tc>
        <w:tc>
          <w:tcPr>
            <w:tcW w:w="1376" w:type="dxa"/>
            <w:gridSpan w:val="3"/>
            <w:vAlign w:val="bottom"/>
          </w:tcPr>
          <w:p w:rsidR="00BC4507" w:rsidRDefault="00BC4507"/>
        </w:tc>
        <w:tc>
          <w:tcPr>
            <w:tcW w:w="2146" w:type="dxa"/>
            <w:gridSpan w:val="4"/>
            <w:vAlign w:val="bottom"/>
          </w:tcPr>
          <w:p w:rsidR="00BC4507" w:rsidRDefault="00BC4507"/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22" w:type="dxa"/>
          <w:trHeight w:val="60"/>
        </w:trPr>
        <w:tc>
          <w:tcPr>
            <w:tcW w:w="7951" w:type="dxa"/>
            <w:gridSpan w:val="14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4507" w:rsidTr="00BC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22" w:type="dxa"/>
          <w:trHeight w:val="60"/>
        </w:trPr>
        <w:tc>
          <w:tcPr>
            <w:tcW w:w="7951" w:type="dxa"/>
            <w:gridSpan w:val="14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BC4507" w:rsidRDefault="00BC4507" w:rsidP="00BC4507"/>
    <w:p w:rsidR="00BC4507" w:rsidRDefault="00BC4507" w:rsidP="00BC4507"/>
    <w:p w:rsidR="00BC4507" w:rsidRDefault="00BC4507" w:rsidP="00BC4507"/>
    <w:p w:rsidR="00000000" w:rsidRDefault="00BC45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448"/>
    <w:rsid w:val="00BC4507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EF02-B917-416B-AE66-1C7C41E9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5397</Words>
  <Characters>30768</Characters>
  <Application>Microsoft Office Word</Application>
  <DocSecurity>0</DocSecurity>
  <Lines>256</Lines>
  <Paragraphs>72</Paragraphs>
  <ScaleCrop>false</ScaleCrop>
  <Company/>
  <LinksUpToDate>false</LinksUpToDate>
  <CharactersWithSpaces>36093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2018-11-02T13:03:00Z</dcterms:created>
  <dcterms:modified xsi:type="dcterms:W3CDTF">2018-11-02T13:06:00Z</dcterms:modified>
</cp:coreProperties>
</file>