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0"/>
        <w:gridCol w:w="248"/>
        <w:gridCol w:w="1680"/>
        <w:gridCol w:w="65"/>
        <w:gridCol w:w="2168"/>
        <w:gridCol w:w="507"/>
        <w:gridCol w:w="259"/>
        <w:gridCol w:w="347"/>
        <w:gridCol w:w="511"/>
        <w:gridCol w:w="259"/>
        <w:gridCol w:w="696"/>
        <w:gridCol w:w="284"/>
        <w:gridCol w:w="1012"/>
        <w:gridCol w:w="767"/>
        <w:gridCol w:w="406"/>
        <w:gridCol w:w="1084"/>
      </w:tblGrid>
      <w:tr w:rsidR="009456D5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50" w:type="dxa"/>
            <w:gridSpan w:val="4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RP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Pr="004B421A" w:rsidRDefault="004B421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42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4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42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4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42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Pr="004B421A" w:rsidRDefault="009456D5">
            <w:pPr>
              <w:rPr>
                <w:lang w:val="en-US"/>
              </w:rPr>
            </w:pPr>
          </w:p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Pr="004B421A" w:rsidRDefault="009456D5">
            <w:pPr>
              <w:rPr>
                <w:lang w:val="en-US"/>
              </w:rPr>
            </w:pPr>
          </w:p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Pr="004B421A" w:rsidRDefault="009456D5">
            <w:pPr>
              <w:rPr>
                <w:lang w:val="en-US"/>
              </w:rPr>
            </w:pPr>
          </w:p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Pr="004B421A" w:rsidRDefault="009456D5">
            <w:pPr>
              <w:rPr>
                <w:lang w:val="en-US"/>
              </w:rPr>
            </w:pPr>
          </w:p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Pr="004B421A" w:rsidRDefault="009456D5">
            <w:pPr>
              <w:rPr>
                <w:lang w:val="en-US"/>
              </w:rPr>
            </w:pPr>
          </w:p>
        </w:tc>
      </w:tr>
      <w:tr w:rsidR="004B421A" w:rsidRP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Pr="004B421A" w:rsidRDefault="004B421A">
            <w:pPr>
              <w:jc w:val="center"/>
              <w:rPr>
                <w:lang w:val="en-US"/>
              </w:rPr>
            </w:pPr>
            <w:r w:rsidRPr="004B42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Pr="004B421A" w:rsidRDefault="009456D5">
            <w:pPr>
              <w:rPr>
                <w:lang w:val="en-US"/>
              </w:rPr>
            </w:pPr>
          </w:p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Pr="004B421A" w:rsidRDefault="009456D5">
            <w:pPr>
              <w:rPr>
                <w:lang w:val="en-US"/>
              </w:rPr>
            </w:pPr>
          </w:p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Pr="004B421A" w:rsidRDefault="009456D5">
            <w:pPr>
              <w:rPr>
                <w:lang w:val="en-US"/>
              </w:rPr>
            </w:pPr>
          </w:p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Pr="004B421A" w:rsidRDefault="009456D5">
            <w:pPr>
              <w:rPr>
                <w:lang w:val="en-US"/>
              </w:rPr>
            </w:pPr>
          </w:p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Pr="004B421A" w:rsidRDefault="009456D5">
            <w:pPr>
              <w:rPr>
                <w:lang w:val="en-US"/>
              </w:rPr>
            </w:pPr>
          </w:p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Default="004B421A" w:rsidP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№.322-18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shd w:val="clear" w:color="FFFFFF" w:fill="auto"/>
            <w:vAlign w:val="bottom"/>
          </w:tcPr>
          <w:p w:rsidR="009456D5" w:rsidRDefault="009456D5"/>
        </w:tc>
        <w:tc>
          <w:tcPr>
            <w:tcW w:w="1928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2740" w:type="dxa"/>
            <w:gridSpan w:val="3"/>
            <w:shd w:val="clear" w:color="FFFFFF" w:fill="auto"/>
            <w:vAlign w:val="bottom"/>
          </w:tcPr>
          <w:p w:rsidR="009456D5" w:rsidRDefault="009456D5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shd w:val="clear" w:color="FFFFFF" w:fill="auto"/>
            <w:vAlign w:val="bottom"/>
          </w:tcPr>
          <w:p w:rsidR="009456D5" w:rsidRDefault="009456D5"/>
        </w:tc>
        <w:tc>
          <w:tcPr>
            <w:tcW w:w="1928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2740" w:type="dxa"/>
            <w:gridSpan w:val="3"/>
            <w:shd w:val="clear" w:color="FFFFFF" w:fill="auto"/>
            <w:vAlign w:val="bottom"/>
          </w:tcPr>
          <w:p w:rsidR="009456D5" w:rsidRDefault="009456D5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9456D5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83" w:type="dxa"/>
            <w:gridSpan w:val="14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9456D5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Вкладыш ADVANCE или эквивалент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скользящей поверхности полиэтилен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ISO5834-2.  3 вида: стандартный, глубокое блюдце,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ультраконгруэнтный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Размеров по ширине 5 (65- 85 мм, шаг 5 мм). Размеров по высоте  6 (10-20 мм, шаг 2 мм). Жесткая фиксация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компоненте путем защелкивания. Возможность применения одного вкладыш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для основного и промежуточного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плато.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бедренный или эквивалент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Сплав CoCr29Mo ISO5832-12, правый/левый, типоразмеров 7 (по переднезаднему размеру  50 - 75,5 мм), по медиально-латеральному размеру  56-82 мм). Одинаковый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феморально-пателлярный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радиус бедренного компонента 45º. Толщина бедренного компонента 9 мм. Ориентация имплантации на механическую ось конечности. Возможность 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версии компонентов протеза (включая фиксирующий винт для вкладыша) с по</w:t>
            </w:r>
            <w:r>
              <w:rPr>
                <w:rFonts w:ascii="Times New Roman" w:hAnsi="Times New Roman"/>
                <w:sz w:val="24"/>
                <w:szCs w:val="24"/>
              </w:rPr>
              <w:t>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тибиальный ADVANCE или эквивалент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CoCr29Mo ISO5832-12, типоразмеров  9 (включая 4 промежуточных размера), по переднезаднему размеру 43 - 56 мм, по медиально-латеральному размеру  65- 85 мм.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6 мм, с углублением под вкладыш 3 мм.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28-48 мм, шаг 5 мм. Тонкие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фланцы (крылья)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стабильности, длина 14 мм. Возможность применения удлиняющей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моноблока. Унив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ерсальное применение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(при протезировании с сохранением задней крестообразной связки и без сохранения). Совместимость каждого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3-мя размерами бедренного компонента. Возможность 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</w:t>
            </w:r>
            <w:r>
              <w:rPr>
                <w:rFonts w:ascii="Times New Roman" w:hAnsi="Times New Roman"/>
                <w:sz w:val="24"/>
                <w:szCs w:val="24"/>
              </w:rPr>
              <w:t>сии компонентов протеза (включая фиксирующий винт для вкладыша) с покрытием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бедренный для протезирования коленного сустава цементной фиксации или эквивалент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компонент. Форма анатомическая (правый, левый),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радиусов мыщелков близко к нормальному бедру (1:1,07-1,08) для соответствия поверхности дистальной части бедренной кости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возможностью предоставления бедренных компонентов с учетом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анатомических особенностей с соотношением радиусов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ыщелков присущих женскому типу бедра (1:1.09-1.02), более тонким профилем переднего фланца и увеличенным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трохлеарной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борозды. Конструкция бедренного компонента обеспечивает возможность сгибания до 155 град.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кобальт-хром-молибденовый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Структура: Внутренняя поверхность компонента – шероховатая, снаружи – гладкая. Размеры двух типов – правые и левые, 5-ти стандартных типоразмеров, 2-х микро и 1-го макро. Метод фиксации цементный. Особенности –представлены оба вида компонентов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салазкового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для использования у пациентов  с наличием задней крестообразной связки и без нее, т.е. с ограничителем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Каждому типоразмеру бедренного компонента соответствует2-х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типоразмератибиального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компонента.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Тибиальный компонент или эквивалент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Тибиальный компонент эндопротеза универсальный (для левой и правой голени).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сплав Ti-6Al-4V (ISO 5832-3..1996)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 цементный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Имплантируемая поверхность имеет тонкий слой костного цемента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PMMA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Компонент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оснащается прямыми или офсетными удлинительными штифтами длиной 100 мм для стабилизации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Компонент имеет возможность установки бедренных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блоков толщиной 5 и 10 мм различной конфигурации для замещения костных дефектов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запорног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механизма для полиэтиленовой прокладки - защелкивающийся. Каждому типоразмеру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по ширине соответствует  2 типа  полиэтиленовых прокладок.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размерный  ряд составляет 10 размеров, из них: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6-ть стандартных (3, 4, 5, 6, 7, 8),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возможностью поставки 2-х – микро (1, 2) и  2-х макро (9, 10).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Полиэтиленовый вкладыш или эквивалент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Полиэтиленовые вкладыши (прокладка тибиальная) с задним стабилизатором универсальные (для левой и правой голени). Материал: высокомолекулярный полиэтилен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UHMWPE (ISO 5834-2..1998). Конструктивные особенности: Полиэтиленовая прокладка жесткой фиксации методом защелкивания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компоненте. Размеры: 3-и типоразмеров (CD, EF, GH) по ширине и  5-ть (10, 12, 14, 17, 20  мм) типоразмеров по высоте.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40 грамм или эквивалент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представлять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естественной кости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операций, средней вязкости,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увеличенным рабочим временем. Состав: Порошок: Метилметакрилат / Метил акрилат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(15,00%). Жидкость: Метилметакрилат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диметил-р-толуидин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(&lt;2,50%), 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Затвердени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костного цемента средней вязкости при температуре в операционной комнате 23С должно происходить за 80 секунд при условии, что на смешивание тратиться 40 секунд, время ожидания составляет 95 секунд, а рабочее время не превышает 325 секунд. Общее время от </w:t>
            </w:r>
            <w:r>
              <w:rPr>
                <w:rFonts w:ascii="Times New Roman" w:hAnsi="Times New Roman"/>
                <w:sz w:val="24"/>
                <w:szCs w:val="24"/>
              </w:rPr>
              <w:t>начала перемешивания порошкового и жидкого костного цемента до полного затвердения не должно превышать 540 секунд при указанной выше температуре в операционной комнате. Порошок: 40 грамм, Жидкость: 20 грамм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4B42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56D5" w:rsidRDefault="009456D5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80" w:type="dxa"/>
            <w:shd w:val="clear" w:color="FFFFFF" w:fill="auto"/>
            <w:vAlign w:val="bottom"/>
          </w:tcPr>
          <w:p w:rsidR="009456D5" w:rsidRDefault="009456D5"/>
        </w:tc>
        <w:tc>
          <w:tcPr>
            <w:tcW w:w="1928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2740" w:type="dxa"/>
            <w:gridSpan w:val="3"/>
            <w:shd w:val="clear" w:color="FFFFFF" w:fill="auto"/>
            <w:vAlign w:val="bottom"/>
          </w:tcPr>
          <w:p w:rsidR="009456D5" w:rsidRDefault="009456D5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9456D5" w:rsidRDefault="009456D5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9456D5" w:rsidRDefault="009456D5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4B421A" w:rsidRDefault="004B421A">
            <w:r>
              <w:rPr>
                <w:rFonts w:ascii="Times New Roman" w:hAnsi="Times New Roman"/>
                <w:sz w:val="28"/>
                <w:szCs w:val="28"/>
              </w:rPr>
              <w:t>Срок поставки: Срок поставки не более 30 календарных дней с момента заключения государственного контракта.</w:t>
            </w:r>
          </w:p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28" w:type="dxa"/>
            <w:gridSpan w:val="2"/>
            <w:vAlign w:val="bottom"/>
          </w:tcPr>
          <w:p w:rsidR="004B421A" w:rsidRDefault="004B421A"/>
        </w:tc>
        <w:tc>
          <w:tcPr>
            <w:tcW w:w="1745" w:type="dxa"/>
            <w:gridSpan w:val="2"/>
            <w:vAlign w:val="bottom"/>
          </w:tcPr>
          <w:p w:rsidR="004B421A" w:rsidRDefault="004B421A"/>
        </w:tc>
        <w:tc>
          <w:tcPr>
            <w:tcW w:w="2168" w:type="dxa"/>
            <w:vAlign w:val="bottom"/>
          </w:tcPr>
          <w:p w:rsidR="004B421A" w:rsidRDefault="004B421A"/>
        </w:tc>
        <w:tc>
          <w:tcPr>
            <w:tcW w:w="766" w:type="dxa"/>
            <w:gridSpan w:val="2"/>
            <w:vAlign w:val="bottom"/>
          </w:tcPr>
          <w:p w:rsidR="004B421A" w:rsidRDefault="004B421A"/>
        </w:tc>
        <w:tc>
          <w:tcPr>
            <w:tcW w:w="858" w:type="dxa"/>
            <w:gridSpan w:val="2"/>
            <w:vAlign w:val="bottom"/>
          </w:tcPr>
          <w:p w:rsidR="004B421A" w:rsidRDefault="004B421A"/>
        </w:tc>
        <w:tc>
          <w:tcPr>
            <w:tcW w:w="955" w:type="dxa"/>
            <w:gridSpan w:val="2"/>
            <w:vAlign w:val="bottom"/>
          </w:tcPr>
          <w:p w:rsidR="004B421A" w:rsidRDefault="004B421A"/>
        </w:tc>
        <w:tc>
          <w:tcPr>
            <w:tcW w:w="1296" w:type="dxa"/>
            <w:gridSpan w:val="2"/>
            <w:vAlign w:val="bottom"/>
          </w:tcPr>
          <w:p w:rsidR="004B421A" w:rsidRDefault="004B421A"/>
        </w:tc>
        <w:tc>
          <w:tcPr>
            <w:tcW w:w="1173" w:type="dxa"/>
            <w:gridSpan w:val="2"/>
            <w:vAlign w:val="bottom"/>
          </w:tcPr>
          <w:p w:rsidR="004B421A" w:rsidRDefault="004B421A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4B421A" w:rsidRDefault="004B421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 Б.</w:t>
            </w:r>
          </w:p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28" w:type="dxa"/>
            <w:gridSpan w:val="2"/>
            <w:vAlign w:val="bottom"/>
          </w:tcPr>
          <w:p w:rsidR="004B421A" w:rsidRDefault="004B421A"/>
        </w:tc>
        <w:tc>
          <w:tcPr>
            <w:tcW w:w="1745" w:type="dxa"/>
            <w:gridSpan w:val="2"/>
            <w:vAlign w:val="bottom"/>
          </w:tcPr>
          <w:p w:rsidR="004B421A" w:rsidRDefault="004B421A"/>
        </w:tc>
        <w:tc>
          <w:tcPr>
            <w:tcW w:w="2168" w:type="dxa"/>
            <w:vAlign w:val="bottom"/>
          </w:tcPr>
          <w:p w:rsidR="004B421A" w:rsidRDefault="004B421A"/>
        </w:tc>
        <w:tc>
          <w:tcPr>
            <w:tcW w:w="766" w:type="dxa"/>
            <w:gridSpan w:val="2"/>
            <w:vAlign w:val="bottom"/>
          </w:tcPr>
          <w:p w:rsidR="004B421A" w:rsidRDefault="004B421A"/>
        </w:tc>
        <w:tc>
          <w:tcPr>
            <w:tcW w:w="858" w:type="dxa"/>
            <w:gridSpan w:val="2"/>
            <w:vAlign w:val="bottom"/>
          </w:tcPr>
          <w:p w:rsidR="004B421A" w:rsidRDefault="004B421A"/>
        </w:tc>
        <w:tc>
          <w:tcPr>
            <w:tcW w:w="955" w:type="dxa"/>
            <w:gridSpan w:val="2"/>
            <w:vAlign w:val="bottom"/>
          </w:tcPr>
          <w:p w:rsidR="004B421A" w:rsidRDefault="004B421A"/>
        </w:tc>
        <w:tc>
          <w:tcPr>
            <w:tcW w:w="1296" w:type="dxa"/>
            <w:gridSpan w:val="2"/>
            <w:vAlign w:val="bottom"/>
          </w:tcPr>
          <w:p w:rsidR="004B421A" w:rsidRDefault="004B421A"/>
        </w:tc>
        <w:tc>
          <w:tcPr>
            <w:tcW w:w="1173" w:type="dxa"/>
            <w:gridSpan w:val="2"/>
            <w:vAlign w:val="bottom"/>
          </w:tcPr>
          <w:p w:rsidR="004B421A" w:rsidRDefault="004B421A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4B421A" w:rsidRDefault="004B421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28" w:type="dxa"/>
            <w:gridSpan w:val="2"/>
            <w:vAlign w:val="bottom"/>
          </w:tcPr>
          <w:p w:rsidR="004B421A" w:rsidRDefault="004B421A"/>
        </w:tc>
        <w:tc>
          <w:tcPr>
            <w:tcW w:w="1745" w:type="dxa"/>
            <w:gridSpan w:val="2"/>
            <w:vAlign w:val="bottom"/>
          </w:tcPr>
          <w:p w:rsidR="004B421A" w:rsidRDefault="004B421A"/>
        </w:tc>
        <w:tc>
          <w:tcPr>
            <w:tcW w:w="2168" w:type="dxa"/>
            <w:vAlign w:val="bottom"/>
          </w:tcPr>
          <w:p w:rsidR="004B421A" w:rsidRDefault="004B421A"/>
        </w:tc>
        <w:tc>
          <w:tcPr>
            <w:tcW w:w="766" w:type="dxa"/>
            <w:gridSpan w:val="2"/>
            <w:vAlign w:val="bottom"/>
          </w:tcPr>
          <w:p w:rsidR="004B421A" w:rsidRDefault="004B421A"/>
        </w:tc>
        <w:tc>
          <w:tcPr>
            <w:tcW w:w="858" w:type="dxa"/>
            <w:gridSpan w:val="2"/>
            <w:vAlign w:val="bottom"/>
          </w:tcPr>
          <w:p w:rsidR="004B421A" w:rsidRDefault="004B421A"/>
        </w:tc>
        <w:tc>
          <w:tcPr>
            <w:tcW w:w="955" w:type="dxa"/>
            <w:gridSpan w:val="2"/>
            <w:vAlign w:val="bottom"/>
          </w:tcPr>
          <w:p w:rsidR="004B421A" w:rsidRDefault="004B421A"/>
        </w:tc>
        <w:tc>
          <w:tcPr>
            <w:tcW w:w="1296" w:type="dxa"/>
            <w:gridSpan w:val="2"/>
            <w:vAlign w:val="bottom"/>
          </w:tcPr>
          <w:p w:rsidR="004B421A" w:rsidRDefault="004B421A"/>
        </w:tc>
        <w:tc>
          <w:tcPr>
            <w:tcW w:w="1173" w:type="dxa"/>
            <w:gridSpan w:val="2"/>
            <w:vAlign w:val="bottom"/>
          </w:tcPr>
          <w:p w:rsidR="004B421A" w:rsidRDefault="004B421A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4B421A" w:rsidRDefault="004B421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30.05.2018 12:00:00 по местному времени.</w:t>
            </w:r>
          </w:p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4B421A" w:rsidRDefault="004B421A"/>
        </w:tc>
        <w:tc>
          <w:tcPr>
            <w:tcW w:w="1745" w:type="dxa"/>
            <w:gridSpan w:val="2"/>
            <w:vAlign w:val="bottom"/>
          </w:tcPr>
          <w:p w:rsidR="004B421A" w:rsidRDefault="004B421A"/>
        </w:tc>
        <w:tc>
          <w:tcPr>
            <w:tcW w:w="2168" w:type="dxa"/>
            <w:vAlign w:val="bottom"/>
          </w:tcPr>
          <w:p w:rsidR="004B421A" w:rsidRDefault="004B421A"/>
        </w:tc>
        <w:tc>
          <w:tcPr>
            <w:tcW w:w="766" w:type="dxa"/>
            <w:gridSpan w:val="2"/>
            <w:vAlign w:val="bottom"/>
          </w:tcPr>
          <w:p w:rsidR="004B421A" w:rsidRDefault="004B421A"/>
        </w:tc>
        <w:tc>
          <w:tcPr>
            <w:tcW w:w="858" w:type="dxa"/>
            <w:gridSpan w:val="2"/>
            <w:vAlign w:val="bottom"/>
          </w:tcPr>
          <w:p w:rsidR="004B421A" w:rsidRDefault="004B421A"/>
        </w:tc>
        <w:tc>
          <w:tcPr>
            <w:tcW w:w="955" w:type="dxa"/>
            <w:gridSpan w:val="2"/>
            <w:vAlign w:val="bottom"/>
          </w:tcPr>
          <w:p w:rsidR="004B421A" w:rsidRDefault="004B421A"/>
        </w:tc>
        <w:tc>
          <w:tcPr>
            <w:tcW w:w="1296" w:type="dxa"/>
            <w:gridSpan w:val="2"/>
            <w:vAlign w:val="bottom"/>
          </w:tcPr>
          <w:p w:rsidR="004B421A" w:rsidRDefault="004B421A"/>
        </w:tc>
        <w:tc>
          <w:tcPr>
            <w:tcW w:w="1173" w:type="dxa"/>
            <w:gridSpan w:val="2"/>
            <w:vAlign w:val="bottom"/>
          </w:tcPr>
          <w:p w:rsidR="004B421A" w:rsidRDefault="004B421A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4B421A" w:rsidRDefault="004B421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________________________/Куликова И.О./</w:t>
            </w:r>
          </w:p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4B421A" w:rsidRDefault="004B421A"/>
        </w:tc>
        <w:tc>
          <w:tcPr>
            <w:tcW w:w="1745" w:type="dxa"/>
            <w:gridSpan w:val="2"/>
            <w:vAlign w:val="bottom"/>
          </w:tcPr>
          <w:p w:rsidR="004B421A" w:rsidRDefault="004B421A"/>
        </w:tc>
        <w:tc>
          <w:tcPr>
            <w:tcW w:w="2168" w:type="dxa"/>
            <w:vAlign w:val="bottom"/>
          </w:tcPr>
          <w:p w:rsidR="004B421A" w:rsidRDefault="004B421A"/>
        </w:tc>
        <w:tc>
          <w:tcPr>
            <w:tcW w:w="766" w:type="dxa"/>
            <w:gridSpan w:val="2"/>
            <w:vAlign w:val="bottom"/>
          </w:tcPr>
          <w:p w:rsidR="004B421A" w:rsidRDefault="004B421A"/>
        </w:tc>
        <w:tc>
          <w:tcPr>
            <w:tcW w:w="858" w:type="dxa"/>
            <w:gridSpan w:val="2"/>
            <w:vAlign w:val="bottom"/>
          </w:tcPr>
          <w:p w:rsidR="004B421A" w:rsidRDefault="004B421A"/>
        </w:tc>
        <w:tc>
          <w:tcPr>
            <w:tcW w:w="955" w:type="dxa"/>
            <w:gridSpan w:val="2"/>
            <w:vAlign w:val="bottom"/>
          </w:tcPr>
          <w:p w:rsidR="004B421A" w:rsidRDefault="004B421A"/>
        </w:tc>
        <w:tc>
          <w:tcPr>
            <w:tcW w:w="1296" w:type="dxa"/>
            <w:gridSpan w:val="2"/>
            <w:vAlign w:val="bottom"/>
          </w:tcPr>
          <w:p w:rsidR="004B421A" w:rsidRDefault="004B421A"/>
        </w:tc>
        <w:tc>
          <w:tcPr>
            <w:tcW w:w="1173" w:type="dxa"/>
            <w:gridSpan w:val="2"/>
            <w:vAlign w:val="bottom"/>
          </w:tcPr>
          <w:p w:rsidR="004B421A" w:rsidRDefault="004B421A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4B421A" w:rsidRDefault="004B421A"/>
        </w:tc>
        <w:tc>
          <w:tcPr>
            <w:tcW w:w="1745" w:type="dxa"/>
            <w:gridSpan w:val="2"/>
            <w:vAlign w:val="bottom"/>
          </w:tcPr>
          <w:p w:rsidR="004B421A" w:rsidRDefault="004B421A"/>
        </w:tc>
        <w:tc>
          <w:tcPr>
            <w:tcW w:w="2168" w:type="dxa"/>
            <w:vAlign w:val="bottom"/>
          </w:tcPr>
          <w:p w:rsidR="004B421A" w:rsidRDefault="004B421A"/>
        </w:tc>
        <w:tc>
          <w:tcPr>
            <w:tcW w:w="766" w:type="dxa"/>
            <w:gridSpan w:val="2"/>
            <w:vAlign w:val="bottom"/>
          </w:tcPr>
          <w:p w:rsidR="004B421A" w:rsidRDefault="004B421A"/>
        </w:tc>
        <w:tc>
          <w:tcPr>
            <w:tcW w:w="858" w:type="dxa"/>
            <w:gridSpan w:val="2"/>
            <w:vAlign w:val="bottom"/>
          </w:tcPr>
          <w:p w:rsidR="004B421A" w:rsidRDefault="004B421A"/>
        </w:tc>
        <w:tc>
          <w:tcPr>
            <w:tcW w:w="955" w:type="dxa"/>
            <w:gridSpan w:val="2"/>
            <w:vAlign w:val="bottom"/>
          </w:tcPr>
          <w:p w:rsidR="004B421A" w:rsidRDefault="004B421A"/>
        </w:tc>
        <w:tc>
          <w:tcPr>
            <w:tcW w:w="1296" w:type="dxa"/>
            <w:gridSpan w:val="2"/>
            <w:vAlign w:val="bottom"/>
          </w:tcPr>
          <w:p w:rsidR="004B421A" w:rsidRDefault="004B421A"/>
        </w:tc>
        <w:tc>
          <w:tcPr>
            <w:tcW w:w="1173" w:type="dxa"/>
            <w:gridSpan w:val="2"/>
            <w:vAlign w:val="bottom"/>
          </w:tcPr>
          <w:p w:rsidR="004B421A" w:rsidRDefault="004B421A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4B421A" w:rsidRDefault="004B421A"/>
        </w:tc>
        <w:tc>
          <w:tcPr>
            <w:tcW w:w="1745" w:type="dxa"/>
            <w:gridSpan w:val="2"/>
            <w:vAlign w:val="bottom"/>
          </w:tcPr>
          <w:p w:rsidR="004B421A" w:rsidRDefault="004B421A"/>
        </w:tc>
        <w:tc>
          <w:tcPr>
            <w:tcW w:w="2168" w:type="dxa"/>
            <w:vAlign w:val="bottom"/>
          </w:tcPr>
          <w:p w:rsidR="004B421A" w:rsidRDefault="004B421A"/>
        </w:tc>
        <w:tc>
          <w:tcPr>
            <w:tcW w:w="766" w:type="dxa"/>
            <w:gridSpan w:val="2"/>
            <w:vAlign w:val="bottom"/>
          </w:tcPr>
          <w:p w:rsidR="004B421A" w:rsidRDefault="004B421A"/>
        </w:tc>
        <w:tc>
          <w:tcPr>
            <w:tcW w:w="858" w:type="dxa"/>
            <w:gridSpan w:val="2"/>
            <w:vAlign w:val="bottom"/>
          </w:tcPr>
          <w:p w:rsidR="004B421A" w:rsidRDefault="004B421A"/>
        </w:tc>
        <w:tc>
          <w:tcPr>
            <w:tcW w:w="955" w:type="dxa"/>
            <w:gridSpan w:val="2"/>
            <w:vAlign w:val="bottom"/>
          </w:tcPr>
          <w:p w:rsidR="004B421A" w:rsidRDefault="004B421A"/>
        </w:tc>
        <w:tc>
          <w:tcPr>
            <w:tcW w:w="1296" w:type="dxa"/>
            <w:gridSpan w:val="2"/>
            <w:vAlign w:val="bottom"/>
          </w:tcPr>
          <w:p w:rsidR="004B421A" w:rsidRDefault="004B421A"/>
        </w:tc>
        <w:tc>
          <w:tcPr>
            <w:tcW w:w="1173" w:type="dxa"/>
            <w:gridSpan w:val="2"/>
            <w:vAlign w:val="bottom"/>
          </w:tcPr>
          <w:p w:rsidR="004B421A" w:rsidRDefault="004B421A"/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4B421A" w:rsidRDefault="004B421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421A" w:rsidTr="004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4B421A" w:rsidRDefault="004B421A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4B421A" w:rsidRDefault="004B421A" w:rsidP="004B421A"/>
    <w:p w:rsidR="004B421A" w:rsidRDefault="004B421A" w:rsidP="004B421A"/>
    <w:p w:rsidR="004B421A" w:rsidRDefault="004B421A"/>
    <w:sectPr w:rsidR="004B421A" w:rsidSect="009456D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456D5"/>
    <w:rsid w:val="004B421A"/>
    <w:rsid w:val="0094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456D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5658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2018-05-28T05:07:00Z</dcterms:created>
  <dcterms:modified xsi:type="dcterms:W3CDTF">2018-05-28T05:08:00Z</dcterms:modified>
</cp:coreProperties>
</file>