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156"/>
        <w:gridCol w:w="2538"/>
        <w:gridCol w:w="601"/>
        <w:gridCol w:w="765"/>
        <w:gridCol w:w="976"/>
        <w:gridCol w:w="1776"/>
        <w:gridCol w:w="1486"/>
      </w:tblGrid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 w:rsidRPr="008C0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Pr="008C0874" w:rsidRDefault="008C08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0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C087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C0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C087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C08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087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Pr="008C0874" w:rsidRDefault="0001002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0021" w:rsidRPr="008C0874" w:rsidRDefault="0001002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0021" w:rsidRPr="008C0874" w:rsidRDefault="0001002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0021" w:rsidRPr="008C0874" w:rsidRDefault="0001002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0021" w:rsidRPr="008C0874" w:rsidRDefault="00010021">
            <w:pPr>
              <w:rPr>
                <w:lang w:val="en-US"/>
              </w:rPr>
            </w:pPr>
          </w:p>
        </w:tc>
      </w:tr>
      <w:tr w:rsidR="00010021" w:rsidRPr="008C0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Pr="008C0874" w:rsidRDefault="008C0874">
            <w:pPr>
              <w:jc w:val="center"/>
              <w:rPr>
                <w:lang w:val="en-US"/>
              </w:rPr>
            </w:pPr>
            <w:r w:rsidRPr="008C087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Pr="008C0874" w:rsidRDefault="0001002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0021" w:rsidRPr="008C0874" w:rsidRDefault="0001002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0021" w:rsidRPr="008C0874" w:rsidRDefault="0001002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0021" w:rsidRPr="008C0874" w:rsidRDefault="0001002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0021" w:rsidRPr="008C0874" w:rsidRDefault="00010021">
            <w:pPr>
              <w:rPr>
                <w:lang w:val="en-US"/>
              </w:rPr>
            </w:pPr>
          </w:p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Default="008C0874" w:rsidP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№.1287-18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0021" w:rsidRDefault="00010021"/>
        </w:tc>
        <w:tc>
          <w:tcPr>
            <w:tcW w:w="2533" w:type="dxa"/>
            <w:shd w:val="clear" w:color="FFFFFF" w:fill="auto"/>
            <w:vAlign w:val="bottom"/>
          </w:tcPr>
          <w:p w:rsidR="00010021" w:rsidRDefault="00010021"/>
        </w:tc>
        <w:tc>
          <w:tcPr>
            <w:tcW w:w="3321" w:type="dxa"/>
            <w:shd w:val="clear" w:color="FFFFFF" w:fill="auto"/>
            <w:vAlign w:val="bottom"/>
          </w:tcPr>
          <w:p w:rsidR="00010021" w:rsidRDefault="00010021"/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0021" w:rsidRDefault="00010021"/>
        </w:tc>
        <w:tc>
          <w:tcPr>
            <w:tcW w:w="2533" w:type="dxa"/>
            <w:shd w:val="clear" w:color="FFFFFF" w:fill="auto"/>
            <w:vAlign w:val="bottom"/>
          </w:tcPr>
          <w:p w:rsidR="00010021" w:rsidRDefault="00010021"/>
        </w:tc>
        <w:tc>
          <w:tcPr>
            <w:tcW w:w="3321" w:type="dxa"/>
            <w:shd w:val="clear" w:color="FFFFFF" w:fill="auto"/>
            <w:vAlign w:val="bottom"/>
          </w:tcPr>
          <w:p w:rsidR="00010021" w:rsidRDefault="00010021"/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биологический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S100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Биологические индикаторы </w:t>
            </w:r>
            <w:r>
              <w:rPr>
                <w:rFonts w:ascii="Times New Roman" w:hAnsi="Times New Roman"/>
                <w:sz w:val="24"/>
                <w:szCs w:val="24"/>
              </w:rPr>
              <w:t>для плазменной стерилизации со сроком инкубации 24 часа, одобренные для применения в стерилизаторе его производителем, в упаковке 30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химический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х 250, ЕКГ 0036802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Химические индикаторные полоски для плазменной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стерилизации, на каждую полоску нанесен химический индикатор плазменной стерилизации красного цвета, изменяющий цвет с исходного на желтый при контакте со стерилизующим веществом, а также контрольная цветовая маркировка для сравнения, упаковку с полосками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хранить при комнатной температуре от + 15 до + 30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полосок после вскрытия упаковки определяется сроком годности самой упаковки. Срок годности упаковки - 18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Кассеты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100S №5 ЕКГ 0037256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Кассеты (картриджи) со </w:t>
            </w:r>
            <w:r>
              <w:rPr>
                <w:rFonts w:ascii="Times New Roman" w:hAnsi="Times New Roman"/>
                <w:sz w:val="24"/>
                <w:szCs w:val="24"/>
              </w:rPr>
              <w:t>стерилизующим агентом - пероксид водорода 58%, предназначенные для плазменной стерилизации. Объем действующего вещества (стерилизующего агента) в ячейках кассеты/картриджа, 1,8 мл. Кассета (картридж) представляет собой пластмассовый футляр, содержащий деся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идентичных ячеек с действующим веществом, упакованный в картонную коробку с желтым химическим индикатором утечки стерилизующего агента, изменяющим свой цвет на красный при контакте с ним, и запаянный в пластиковый пакет. Количество циклов стерилизации, </w:t>
            </w:r>
            <w:r>
              <w:rPr>
                <w:rFonts w:ascii="Times New Roman" w:hAnsi="Times New Roman"/>
                <w:sz w:val="24"/>
                <w:szCs w:val="24"/>
              </w:rPr>
              <w:t>выполняемых стерилизатором при загрузке в аппарат одной кассеты (картриджа), 5 циклов. Кассеты (картриджи) со стерилизующим агентом хранить в произвольном положении без применения холодильных установок, при температуре от +15С до + 30С. Захват, распознаван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и дальнейшее применение кассеты (картриджа) в стерилизаторе происходят автоматически без участия пользователя. Использованные кассеты (картриджи) автоматически перемещаются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емкость для отработанных кассет, установленную в специальном отсеке стерилизат</w:t>
            </w:r>
            <w:r>
              <w:rPr>
                <w:rFonts w:ascii="Times New Roman" w:hAnsi="Times New Roman"/>
                <w:sz w:val="24"/>
                <w:szCs w:val="24"/>
              </w:rPr>
              <w:t>ора. Использованные кассеты (картриджи) безопасны для персонала и уничтожаются, как обычные бытовые отходы. Кассеты разрешены для применения в стерилизаторе его производителем. Срок годности 12 месяцев, в упаковке 5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упаковочные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рулонах с химическим индикатором СТЕРРАД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Упаковочные пакеты в рулоне для стерилизации инструментов в низкотемпературном плазменном стерилизаторе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100S, одобренные для применения его производителем, размером 100мм х 70м. Рулоны оснащены химическими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ндикаторными полосками, являющимися свидетелями цикла стерилизации. Срок сохранения стерильности инструментов после цикла стерилизации -не менее 12 месяцев. Применяют однократно.  Срок годности рулонов должен составлять не менее 2 лет. Упаковка не менее 6 </w:t>
            </w:r>
            <w:r>
              <w:rPr>
                <w:rFonts w:ascii="Times New Roman" w:hAnsi="Times New Roman"/>
                <w:sz w:val="24"/>
                <w:szCs w:val="24"/>
              </w:rPr>
              <w:t>рулонов.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липкая индикаторная для плазменной стерилизации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используется для скрепления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запакованных  инструментов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упаковочный материал для плазменной стерилизации. Под воздействием пероксида водорода меняет цвет с красного на золотой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(или светлее). В упаковке не менее 6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упаковочные в рулонах с химическим индикатором СТЕРРАД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Упаковочные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рулоны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изделий  тип 4057B для стерилизации в низкотемпературном плазменном стерилизаторе STERRAD (имеющемся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Заказчика). Упаковка содержит химический индикатор красного цвета, который в результате контакта со стерилизующим агентом изменяет свой цвет с красного на желтый. Совместимость с низкотемпературными плазменными стерилизаторами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подтвержденная 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документацией - инструкцией по эксплуатации  производителя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рекомендацией от ДЮПОНTM ТАЙВЕК®. Длина не менее 70 м, плотность не более 60 г/м2, температура спаивания не менее 130 гр. Остаточный срок годности не менее 12 месяцев с момента по</w:t>
            </w:r>
            <w:r>
              <w:rPr>
                <w:rFonts w:ascii="Times New Roman" w:hAnsi="Times New Roman"/>
                <w:sz w:val="24"/>
                <w:szCs w:val="24"/>
              </w:rPr>
              <w:t>ставки. Размер: ширина 150мм, длина 70м. (4шт./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Ед.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упаковочные в рулонах ЕКГ 0037261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Упаковочные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рулоны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изделий  тип 4057B для стерилизации в низкотемпературном плазменном стерилизаторе STERRAD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(имеющемся у Заказчика). Упаковка содержит химический индикатор красного цвета, который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результате контакта со стерилизующим агентом изменяет свой цвет с красного на желтый. Совместимость с низкотемпературными плазменными стерилизаторами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</w:t>
            </w:r>
            <w:r>
              <w:rPr>
                <w:rFonts w:ascii="Times New Roman" w:hAnsi="Times New Roman"/>
                <w:sz w:val="24"/>
                <w:szCs w:val="24"/>
              </w:rPr>
              <w:t>жденная  технической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документацией - инструкцией по эксплуатации  производителя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рекомендацией от ДЮПОНTM ТАЙВЕК®. Длина не менее 70 м, плотность не более 60 г/м2, температура спаивания не менее 130 гр. Остаточный срок годности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поставки. Размер: ширина 200мм, длина 70м. (4шт./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Ед.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упаковочные в рулонах ЕКГ 0037262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Упаковочные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рулоны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изделий  тип 4057B для стерилизации в низкотемпературном плазменном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стерилизаторе STERRAD (имеющемся у Заказчика). Упаковка содержит химический индикатор красного цвета, который в результате контакта со стерилизующим агентом изменяет свой цвет с красного на желтый. Совместимость с низкотемпературными плазменными стерилизат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подтвержденная  технической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документацией - инструкцией по эксплуатации  производителя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рекомендацией от ДЮПОНTM ТАЙВЕК®. Длина не менее 70 м, плотность не более 60 г/м2, температура спаивания не менее 130 гр. Остаточный срок годнос</w:t>
            </w:r>
            <w:r>
              <w:rPr>
                <w:rFonts w:ascii="Times New Roman" w:hAnsi="Times New Roman"/>
                <w:sz w:val="24"/>
                <w:szCs w:val="24"/>
              </w:rPr>
              <w:t>ти не менее 12 месяцев с момента поставки. Размер: ширина 250мм, длина 70м. (4шт./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Ед.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оберточный из полипропиленового полотна 760*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760  ЕКГ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0036806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Покровный материал из полипропиленового волокна для стерилизации </w:t>
            </w:r>
            <w:r>
              <w:rPr>
                <w:rFonts w:ascii="Times New Roman" w:hAnsi="Times New Roman"/>
                <w:sz w:val="24"/>
                <w:szCs w:val="24"/>
              </w:rPr>
              <w:t>в плазменном стерилизаторе СТЕРРАД, размером 760 х 760 мм (срок сохранения стерильности 30 дней).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8C0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021" w:rsidRDefault="0001002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10021" w:rsidRDefault="00010021"/>
        </w:tc>
        <w:tc>
          <w:tcPr>
            <w:tcW w:w="2533" w:type="dxa"/>
            <w:shd w:val="clear" w:color="FFFFFF" w:fill="auto"/>
            <w:vAlign w:val="bottom"/>
          </w:tcPr>
          <w:p w:rsidR="00010021" w:rsidRDefault="00010021"/>
        </w:tc>
        <w:tc>
          <w:tcPr>
            <w:tcW w:w="3321" w:type="dxa"/>
            <w:shd w:val="clear" w:color="FFFFFF" w:fill="auto"/>
            <w:vAlign w:val="bottom"/>
          </w:tcPr>
          <w:p w:rsidR="00010021" w:rsidRDefault="00010021"/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0021" w:rsidRDefault="008C0874" w:rsidP="008C0874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10021" w:rsidRDefault="00010021"/>
        </w:tc>
        <w:tc>
          <w:tcPr>
            <w:tcW w:w="2533" w:type="dxa"/>
            <w:shd w:val="clear" w:color="FFFFFF" w:fill="auto"/>
            <w:vAlign w:val="bottom"/>
          </w:tcPr>
          <w:p w:rsidR="00010021" w:rsidRDefault="00010021"/>
        </w:tc>
        <w:tc>
          <w:tcPr>
            <w:tcW w:w="3321" w:type="dxa"/>
            <w:shd w:val="clear" w:color="FFFFFF" w:fill="auto"/>
            <w:vAlign w:val="bottom"/>
          </w:tcPr>
          <w:p w:rsidR="00010021" w:rsidRDefault="00010021"/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0021" w:rsidRDefault="008C08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10021" w:rsidRDefault="00010021"/>
        </w:tc>
        <w:tc>
          <w:tcPr>
            <w:tcW w:w="2533" w:type="dxa"/>
            <w:shd w:val="clear" w:color="FFFFFF" w:fill="auto"/>
            <w:vAlign w:val="bottom"/>
          </w:tcPr>
          <w:p w:rsidR="00010021" w:rsidRDefault="00010021"/>
        </w:tc>
        <w:tc>
          <w:tcPr>
            <w:tcW w:w="3321" w:type="dxa"/>
            <w:shd w:val="clear" w:color="FFFFFF" w:fill="auto"/>
            <w:vAlign w:val="bottom"/>
          </w:tcPr>
          <w:p w:rsidR="00010021" w:rsidRDefault="00010021"/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0021" w:rsidRDefault="008C08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10021" w:rsidRDefault="00010021"/>
        </w:tc>
        <w:tc>
          <w:tcPr>
            <w:tcW w:w="2533" w:type="dxa"/>
            <w:shd w:val="clear" w:color="FFFFFF" w:fill="auto"/>
            <w:vAlign w:val="bottom"/>
          </w:tcPr>
          <w:p w:rsidR="00010021" w:rsidRDefault="00010021"/>
        </w:tc>
        <w:tc>
          <w:tcPr>
            <w:tcW w:w="3321" w:type="dxa"/>
            <w:shd w:val="clear" w:color="FFFFFF" w:fill="auto"/>
            <w:vAlign w:val="bottom"/>
          </w:tcPr>
          <w:p w:rsidR="00010021" w:rsidRDefault="00010021"/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0021" w:rsidRDefault="008C0874" w:rsidP="008C087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16.11</w:t>
            </w:r>
            <w:r>
              <w:rPr>
                <w:rFonts w:ascii="Times New Roman" w:hAnsi="Times New Roman"/>
                <w:sz w:val="28"/>
                <w:szCs w:val="28"/>
              </w:rPr>
              <w:t>.2018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0021" w:rsidRDefault="00010021"/>
        </w:tc>
        <w:tc>
          <w:tcPr>
            <w:tcW w:w="2533" w:type="dxa"/>
            <w:shd w:val="clear" w:color="FFFFFF" w:fill="auto"/>
            <w:vAlign w:val="bottom"/>
          </w:tcPr>
          <w:p w:rsidR="00010021" w:rsidRDefault="00010021"/>
        </w:tc>
        <w:tc>
          <w:tcPr>
            <w:tcW w:w="3321" w:type="dxa"/>
            <w:shd w:val="clear" w:color="FFFFFF" w:fill="auto"/>
            <w:vAlign w:val="bottom"/>
          </w:tcPr>
          <w:p w:rsidR="00010021" w:rsidRDefault="00010021"/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0021" w:rsidRDefault="008C087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0021" w:rsidRDefault="00010021"/>
        </w:tc>
        <w:tc>
          <w:tcPr>
            <w:tcW w:w="2533" w:type="dxa"/>
            <w:shd w:val="clear" w:color="FFFFFF" w:fill="auto"/>
            <w:vAlign w:val="bottom"/>
          </w:tcPr>
          <w:p w:rsidR="00010021" w:rsidRDefault="00010021"/>
        </w:tc>
        <w:tc>
          <w:tcPr>
            <w:tcW w:w="3321" w:type="dxa"/>
            <w:shd w:val="clear" w:color="FFFFFF" w:fill="auto"/>
            <w:vAlign w:val="bottom"/>
          </w:tcPr>
          <w:p w:rsidR="00010021" w:rsidRDefault="00010021"/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0021" w:rsidRDefault="00010021"/>
        </w:tc>
        <w:tc>
          <w:tcPr>
            <w:tcW w:w="2533" w:type="dxa"/>
            <w:shd w:val="clear" w:color="FFFFFF" w:fill="auto"/>
            <w:vAlign w:val="bottom"/>
          </w:tcPr>
          <w:p w:rsidR="00010021" w:rsidRDefault="00010021"/>
        </w:tc>
        <w:tc>
          <w:tcPr>
            <w:tcW w:w="3321" w:type="dxa"/>
            <w:shd w:val="clear" w:color="FFFFFF" w:fill="auto"/>
            <w:vAlign w:val="bottom"/>
          </w:tcPr>
          <w:p w:rsidR="00010021" w:rsidRDefault="00010021"/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0021" w:rsidRDefault="00010021"/>
        </w:tc>
        <w:tc>
          <w:tcPr>
            <w:tcW w:w="2533" w:type="dxa"/>
            <w:shd w:val="clear" w:color="FFFFFF" w:fill="auto"/>
            <w:vAlign w:val="bottom"/>
          </w:tcPr>
          <w:p w:rsidR="00010021" w:rsidRDefault="00010021"/>
        </w:tc>
        <w:tc>
          <w:tcPr>
            <w:tcW w:w="3321" w:type="dxa"/>
            <w:shd w:val="clear" w:color="FFFFFF" w:fill="auto"/>
            <w:vAlign w:val="bottom"/>
          </w:tcPr>
          <w:p w:rsidR="00010021" w:rsidRDefault="00010021"/>
        </w:tc>
        <w:tc>
          <w:tcPr>
            <w:tcW w:w="111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286" w:type="dxa"/>
            <w:shd w:val="clear" w:color="FFFFFF" w:fill="auto"/>
            <w:vAlign w:val="bottom"/>
          </w:tcPr>
          <w:p w:rsidR="00010021" w:rsidRDefault="00010021"/>
        </w:tc>
        <w:tc>
          <w:tcPr>
            <w:tcW w:w="1470" w:type="dxa"/>
            <w:shd w:val="clear" w:color="FFFFFF" w:fill="auto"/>
            <w:vAlign w:val="bottom"/>
          </w:tcPr>
          <w:p w:rsidR="00010021" w:rsidRDefault="00010021"/>
        </w:tc>
        <w:tc>
          <w:tcPr>
            <w:tcW w:w="2087" w:type="dxa"/>
            <w:shd w:val="clear" w:color="FFFFFF" w:fill="auto"/>
            <w:vAlign w:val="bottom"/>
          </w:tcPr>
          <w:p w:rsidR="00010021" w:rsidRDefault="00010021"/>
        </w:tc>
        <w:tc>
          <w:tcPr>
            <w:tcW w:w="1903" w:type="dxa"/>
            <w:shd w:val="clear" w:color="FFFFFF" w:fill="auto"/>
            <w:vAlign w:val="bottom"/>
          </w:tcPr>
          <w:p w:rsidR="00010021" w:rsidRDefault="00010021"/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0021" w:rsidRDefault="008C087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0021" w:rsidRDefault="008C0874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8C087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21"/>
    <w:rsid w:val="00010021"/>
    <w:rsid w:val="008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5E04A-F313-4ACD-9153-BC721A7B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2018-11-14T13:10:00Z</dcterms:created>
  <dcterms:modified xsi:type="dcterms:W3CDTF">2018-11-14T13:10:00Z</dcterms:modified>
</cp:coreProperties>
</file>