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2727"/>
        <w:gridCol w:w="2731"/>
        <w:gridCol w:w="465"/>
        <w:gridCol w:w="625"/>
        <w:gridCol w:w="839"/>
        <w:gridCol w:w="1673"/>
        <w:gridCol w:w="1362"/>
      </w:tblGrid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 w:rsidRPr="00E84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Pr="00E84F9C" w:rsidRDefault="00E84F9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4F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84F9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84F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84F9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84F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84F9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</w:tr>
      <w:tr w:rsidR="00556947" w:rsidRPr="00E84F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Pr="00E84F9C" w:rsidRDefault="00E84F9C">
            <w:pPr>
              <w:jc w:val="center"/>
              <w:rPr>
                <w:lang w:val="en-US"/>
              </w:rPr>
            </w:pPr>
            <w:r w:rsidRPr="00E84F9C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56947" w:rsidRPr="00E84F9C" w:rsidRDefault="00556947">
            <w:pPr>
              <w:rPr>
                <w:lang w:val="en-US"/>
              </w:rPr>
            </w:pP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 w:rsidP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09.11.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 г. №.1286-18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рассасывающаяся окрашенная,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М3 (2/0), 75см, игла колюще-режущая 36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облегчающим проведение нити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Используемые материалы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фиолетовый цвет для улучшения визуализации в ране. Для толщины нити 6-0 и более нить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сохраняет 75% прочности на разрыв IN VIVO через 2 недели, 50% через 3 недели, 25% через 4 недели, срок полного рассасывания 56-70 дней. Толщина нити M3 (USP 2/0), длина нити не менее 75 см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сили</w:t>
            </w:r>
            <w:r>
              <w:rPr>
                <w:rFonts w:ascii="Times New Roman" w:hAnsi="Times New Roman"/>
                <w:sz w:val="24"/>
                <w:szCs w:val="24"/>
              </w:rPr>
              <w:t>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ткани.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что предотвращает необход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Игла колюще-режущая,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окружности,  36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длиной. Соединение нити с атравматической иглой должно быть прочным, диаметр иглы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</w:t>
            </w:r>
            <w:r>
              <w:rPr>
                <w:rFonts w:ascii="Times New Roman" w:hAnsi="Times New Roman"/>
                <w:sz w:val="24"/>
                <w:szCs w:val="24"/>
              </w:rPr>
              <w:t>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 из фольги, обеспечивающая доступ в одно движение к внутреннему вкладышу. Внутренний вкладыш защищает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иглу от повреждения (пластик или иной прочный 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ериал), обеспечивает прямолинейность нити после ее извлечения, предотвращая возникновения эффекта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"памяти формы", содержит полную информацию о наименовании изделия, составе и параметрах нити, параметрах иглы для контроля за содержимым после извлечения из и</w:t>
            </w:r>
            <w:r>
              <w:rPr>
                <w:rFonts w:ascii="Times New Roman" w:hAnsi="Times New Roman"/>
                <w:sz w:val="24"/>
                <w:szCs w:val="24"/>
              </w:rPr>
              <w:t>ндивидуальной упаковки и размещения на стерильном столе.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(полиэтилен или другой материал)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применения на русском языке. Срок годности, установленный производителем, не менее 5-ти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рассасывающаяся окрашенная, М3 (2/0), 75см, игла колюще-режущая 36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мм,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полиглактина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910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10%), с покрытием,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облегчающим проведение нити через ткани (из сополимера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гликолида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кальция). Используемые материалы не должны иметь антигенной активности и должны быть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 в фиолетовый цвет для улучшения визуализации в ране. Для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олщины нити 6-0 и более нить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сохраняет 75% прочности на разрыв IN VIVO через 2 недели, 50% через 3 недели, 25% через 4 недели, срок полного рассасывания 56-70 дней. Толщина нити M3 (USP 2/0), длина нити не менее 75 см Игла из коррозионностойкого высокопроч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плотные ткани. Конструкция и материал иглы обеспечивает повышенную устойчивость к необратимой деформации (изгибу) не менее 4,6 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предотвращает необходимость замены иглы. Игла имеет конструкцию, увеличивающую надежность ее фиксации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иглодержателе 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счет насечек в месте захвата. Игла колюще-режущая, 1/2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окружности,  36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мм длиной. Соединение нити с атравматической иглой должн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быть прочным, диаметр иглы в зоне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крепления  должен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быть не более 1,15 диаметра иглы в начале зоны крепления, 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иглы. Минимальное различие диаметров нити иглы должно обеспечиваться применением 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ехнологии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механического  сверления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иглы с последующим обжатием или иным методом. Одинарная индивидуальная стерильная упаковка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фольги, обеспечивающая доступ в одно движение к внутреннему вкладышу. Внутренний вкладыш защищает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нить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иглу от повреждения (</w:t>
            </w:r>
            <w:r>
              <w:rPr>
                <w:rFonts w:ascii="Times New Roman" w:hAnsi="Times New Roman"/>
                <w:sz w:val="24"/>
                <w:szCs w:val="24"/>
              </w:rPr>
              <w:t>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изделия, составе и параметрах нити, параметрах иглы для контроля за соде</w:t>
            </w:r>
            <w:r>
              <w:rPr>
                <w:rFonts w:ascii="Times New Roman" w:hAnsi="Times New Roman"/>
                <w:sz w:val="24"/>
                <w:szCs w:val="24"/>
              </w:rPr>
              <w:t>ржимым после извлечения из индивидуальной упаковки и размещения на стерильном столе. Индивидуальная упаковка позволяет производить идентификацию и учет методом сканирования. Групповая упаковка (коробка) содержит 12 индивидуальных упаковок, Герметичная (пол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иэтилен или другой материал), предохраняющая содержимое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влаги.Каждая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коробка содержит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инструкцию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медицинскому применения на русском языке. Срок годности, установленный производителем, не менее 5-ти лет с даты изготовления.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Винт </w:t>
            </w:r>
            <w:r>
              <w:rPr>
                <w:rFonts w:ascii="Times New Roman" w:hAnsi="Times New Roman"/>
                <w:sz w:val="24"/>
                <w:szCs w:val="24"/>
              </w:rPr>
              <w:t>самонарезающий, d 1.55 мм, длина 6 мм, 4 штуки в клипсе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Винт самонарезающий, диаметром 1.55 мм, длина 6 мм. Шлиц крестообразный. Материал - титан. Поставляется в клипсе по 4 штуки.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Держатель электродов двухкнопочный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Держатель  электродов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электрохирургическая ручка с клавишным управлением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резания/коагуляции, кабель 3 м. Имеет одноразовый электрод-лезвие из нержавеющей стали с шестигранным фиксатором, посадочный диаметр электрода 2,4 мм, трехштырьковая вилка, имеющая маркировку для распо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знавания инструмента генератором, совместимая с генератором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Triade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Одноразовый, стерильный.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дефектов костной ткани, политетрафторэтиленовый 1,0 х 5,0 х 5,0 мм, стерильный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Имплант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замещения дефектов костной </w:t>
            </w:r>
            <w:r>
              <w:rPr>
                <w:rFonts w:ascii="Times New Roman" w:hAnsi="Times New Roman"/>
                <w:sz w:val="24"/>
                <w:szCs w:val="24"/>
              </w:rPr>
              <w:t>ткани, политетрафторэтиленовый 1,0 х 5,0 х 5,0 мм, стерильный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№15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№15,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7153-1, прочностью не менее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3 Парагон. Допустимое содержание углерода в стали 0,6% - 0,7%; серы не более 0,025%; фосфора не более 0,03%. Лезвия упакованы в индивидуальные блистеры из ламинированной алюминиевой фольги, лезвия дополнительно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стандартов качества BS 2982 &amp; BS EN 27740. Лезвия подвергаются стерилизации гамма-излучением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сертифицированной установке «Сobalt-60»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гарантирующей срок стерильности не менее 5 лет. Индивидуальная блистерная упаковка с указанием номера лота и даты истечения срока стерильности. Все лезвия производятся в условиях единого помещения с единым производст</w:t>
            </w:r>
            <w:r>
              <w:rPr>
                <w:rFonts w:ascii="Times New Roman" w:hAnsi="Times New Roman"/>
                <w:sz w:val="24"/>
                <w:szCs w:val="24"/>
              </w:rPr>
              <w:t>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Лезвие хирургическое стерильное №23 из нержавеющей стали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хирургические стерильные №23 из нержавеющей стали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изгтовлены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BS EN ISO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7153-1, прочностью не менее 700 HV,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cовместимые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хирургической ручкой № 4 Парагон. Допустимое содержание углерода в стали 0,6% - 0,7%; серы не более 0,025%;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фофора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0,03%. Лезвия упакованы в индивидуальные блистеры из ламинированной алюминиевой фо</w:t>
            </w:r>
            <w:r>
              <w:rPr>
                <w:rFonts w:ascii="Times New Roman" w:hAnsi="Times New Roman"/>
                <w:sz w:val="24"/>
                <w:szCs w:val="24"/>
              </w:rPr>
              <w:t>льги, лезвия дополнительно упакованы в транспортную упаковку из картона по 100 штук, все одинаково и безопасно ориентированы. Лезвия производятся в соответствии с требованиями нормативов стандартов качества BS 2982 &amp; BS EN 27740. Лезвия подвергаются стерил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гамма-излучением на сертифицированной установке «Сobalt-60» гарантирующей срок стерильности не менее 5 лет. Индивидуальная блистерная упаковка с указанием номера лота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даты истечения срока стерильности. Все лезвия производятся в условиях единого по</w:t>
            </w:r>
            <w:r>
              <w:rPr>
                <w:rFonts w:ascii="Times New Roman" w:hAnsi="Times New Roman"/>
                <w:sz w:val="24"/>
                <w:szCs w:val="24"/>
              </w:rPr>
              <w:t>мещения с единым производственным циклом, включая циклы стерилизации и сквозного контроля качества. Имеют СЕ марку.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СЕРДЖИСЕЛ ФИБРИЛЛАР 5,1 см х 10,2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Стерильный местный рассасывающийся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монокомпонентный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на основе окисленной регенерированной целлюлозы растительного происхождения в виде семислойной нетканой волокнистой структуры, позволяющей моделировать размер и форму фрагмента, для остановки капиллярных, венозных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слабых артериальных кровотечений. При контакте материала с кровью создается кислая среда (РН 2,5-3), которая усиливает 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свойства. Благодаря кислотному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уровеню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создается неблагоприятная среда для роста и развития подавляющего количес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 микроорганизмов: обладает доказанным бактерицидным эффектом против 5 основных штаммов патогенов, вызывающих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нозокомиальные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инфекции (устойчивый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aureus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метициллину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Staphylococcus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epidermidis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устойчивый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</w:t>
            </w:r>
            <w:r>
              <w:rPr>
                <w:rFonts w:ascii="Times New Roman" w:hAnsi="Times New Roman"/>
                <w:sz w:val="24"/>
                <w:szCs w:val="24"/>
              </w:rPr>
              <w:t>мицину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Enterococcus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faecium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Escherichia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Pseudomonas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aeruginosa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 также против  широкого спектра грамположительных и грамотрицательных микроорганизмов включая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антибиотикоустойчивые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штаммы MRSA, MRSE, PRSP, VRE. Возможность проведения элект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рокоагуляции через ткань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Размер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5.1 х 10.2 см.  Форма поставки по 10 штук в коробке, каждая штука в индивидуальной стерильной упаковке. Хранение при комнатной температуре, не ниже 15℃ в течение всего срока годности.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Насадка дистальная диаметр 12,1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прямой дистальный колпачок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ESD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от дистальной части эндоскопа 4 мм, наружный диметр 12,1 мм., с наличием бокового отверстия.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Насадка дистальная диаметр 15,3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прямой дистальный колпачок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ESD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длина от дистальной части эндоскопа 4 мм, наружный диметр 15,3 мм., с наличием бокового отверстия.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Повязка самоклеящаяся на рану 10 х 6 см №25 стерильная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Самоклеящаяся повязка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рану из мягкого нетканого материала с впитывающей подушечкой,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неприклеивающейся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ране. Основа повязки: нетканый синтетический материал. Раневая подушка: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абсорбирующая вискоза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покрытая микросеткой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неприлипающего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ране материала. Клеев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основа: синтетический клей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каучуковой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основе, не содержит канифоли. Покрытие повязки: покрыта силиконовой бумагой. Вес подушечки на метр2 - минимум 114 г. Впитывающая способность подушки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1100 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кв.м.масса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м² . Масса основы на м2 - примерно 78 </w:t>
            </w:r>
            <w:r>
              <w:rPr>
                <w:rFonts w:ascii="Times New Roman" w:hAnsi="Times New Roman"/>
                <w:sz w:val="24"/>
                <w:szCs w:val="24"/>
              </w:rPr>
              <w:t>г, клеящая сила мин. 13 Н/25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Стерильная индивидуальная упаковка каждой повязки. Размер: не менее 10 x 6 см. Размер впитывающей подушечки не менее 65х25мм. В упаковке 25 штук.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 защитное стерильное для эндоскопических видеокамер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Покрытие одноразовое для эндоскопических видеокамер, тип сложения телескопический. Размер 13 см х 242 см. Покрытия изготовлены из прозрачного полиэтилена. Имеются картонные вставки для ввода и липкая лента для фиксации. Стерильные.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хирургическая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окрашенная, M1.5 (4/0), 90 см, две иглы колющие 17 мм, 1/2 окружности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Нить стерильная хирургическая, синтетическая,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изготовленная из полипропилена. Нить окрашена в голубой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цвет для улучшения визуализации в ране. Соединение нити с атравматической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иглой  прочное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иглы в зоне крепления не более 1,15 диаметра иглы в начале зоны крепления ,что обеспечивает снижение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травматизации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тканей при проведении иглы, а также наиболе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полную герметизацию отверстия прокола. Толщина нити M1.5 (4/0),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длина не менее 90 см. Игла из коррозионностойкого высокопрочного сплава, обработана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силиконом,что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способствует уменьшению трения между иглой и тканями, и облегчает проведение иглы через плот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кальцинированные стенки сосудов. Игла имеет конструкцию, увеличивающую надежность ее фиксации в иглодержателе и фиксации под различным углом в иглодержателе. 2 иглы колющие, 1/2 окружности, 17-18мм. Кончик иглы (1/12 от длины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копуса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иглы) в виде заточе</w:t>
            </w:r>
            <w:r>
              <w:rPr>
                <w:rFonts w:ascii="Times New Roman" w:hAnsi="Times New Roman"/>
                <w:sz w:val="24"/>
                <w:szCs w:val="24"/>
              </w:rPr>
              <w:t>нного микроострия для облегчения проникновения иглы через кальцинированный участок сосуда. Одинарная индивидуальная стерильная упаковка. Наружный листок упаковки прозрачный для контроля за содержимым упаковки. Внутренний вкладыш защищает нить и иглу от пов</w:t>
            </w:r>
            <w:r>
              <w:rPr>
                <w:rFonts w:ascii="Times New Roman" w:hAnsi="Times New Roman"/>
                <w:sz w:val="24"/>
                <w:szCs w:val="24"/>
              </w:rPr>
              <w:t>реждения (пластик или иной прочный материал), обеспечивает прямолинейность нити после ее извлечения, предотвращая возникновения эффекта "памяти формы", содержит полную информацию о наименовании изделия. Групповая упаковка (коробка) содержит 12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упаковок. Герметичная (полиэтилен или другой материал), предохраняющая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содержимое от влаги. Срок годности не менее пяти лет с даты изготовления.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Сетка титановая для пластики дефектов черепа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</w:t>
            </w:r>
            <w:r>
              <w:rPr>
                <w:rFonts w:ascii="Times New Roman" w:hAnsi="Times New Roman"/>
                <w:sz w:val="24"/>
                <w:szCs w:val="24"/>
              </w:rPr>
              <w:t>сетки 100х100мм, толщина 0,6 мм. Материал сетки биосовместим с тканями организма человека. Возможна повторная стерилизация.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Тампон съемный послеоперационный носовой RR500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Носовой тампон длиной 55 мм, с покрытием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действия тампона 24-48 часов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Электрод пациента возвратный с кабелем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пациента возвратный (двухсекционный, одноразовый) REМ - типа для аппарата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ForceTriad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FX, для пациентов с массой тела более 13.6 кг, гидрогель с функцией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охлаждения кожи, наличие дополнительной клеящейся полосы по периметру, контроль контакта рассеивающего электрода и пациента, кабель не менее 2,7 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E84F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56947" w:rsidRDefault="00556947">
            <w:pPr>
              <w:jc w:val="center"/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r>
              <w:rPr>
                <w:rFonts w:ascii="Times New Roman" w:hAnsi="Times New Roman"/>
                <w:sz w:val="28"/>
                <w:szCs w:val="28"/>
              </w:rPr>
              <w:t>Срок поставки: 2019 год, по потребности Заказчика.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</w:t>
            </w:r>
            <w:r>
              <w:rPr>
                <w:rFonts w:ascii="Times New Roman" w:hAnsi="Times New Roman"/>
                <w:sz w:val="28"/>
                <w:szCs w:val="28"/>
              </w:rPr>
              <w:t>Железняка 3-б, отдел обеспечения государственных закупок, тел. 220-16-04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14.11.2018 17:00:00 по местному времени.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56947" w:rsidRDefault="00556947"/>
        </w:tc>
        <w:tc>
          <w:tcPr>
            <w:tcW w:w="2533" w:type="dxa"/>
            <w:shd w:val="clear" w:color="FFFFFF" w:fill="auto"/>
            <w:vAlign w:val="bottom"/>
          </w:tcPr>
          <w:p w:rsidR="00556947" w:rsidRDefault="00556947"/>
        </w:tc>
        <w:tc>
          <w:tcPr>
            <w:tcW w:w="3321" w:type="dxa"/>
            <w:shd w:val="clear" w:color="FFFFFF" w:fill="auto"/>
            <w:vAlign w:val="bottom"/>
          </w:tcPr>
          <w:p w:rsidR="00556947" w:rsidRDefault="00556947"/>
        </w:tc>
        <w:tc>
          <w:tcPr>
            <w:tcW w:w="111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286" w:type="dxa"/>
            <w:shd w:val="clear" w:color="FFFFFF" w:fill="auto"/>
            <w:vAlign w:val="bottom"/>
          </w:tcPr>
          <w:p w:rsidR="00556947" w:rsidRDefault="00556947"/>
        </w:tc>
        <w:tc>
          <w:tcPr>
            <w:tcW w:w="1470" w:type="dxa"/>
            <w:shd w:val="clear" w:color="FFFFFF" w:fill="auto"/>
            <w:vAlign w:val="bottom"/>
          </w:tcPr>
          <w:p w:rsidR="00556947" w:rsidRDefault="00556947"/>
        </w:tc>
        <w:tc>
          <w:tcPr>
            <w:tcW w:w="2087" w:type="dxa"/>
            <w:shd w:val="clear" w:color="FFFFFF" w:fill="auto"/>
            <w:vAlign w:val="bottom"/>
          </w:tcPr>
          <w:p w:rsidR="00556947" w:rsidRDefault="00556947"/>
        </w:tc>
        <w:tc>
          <w:tcPr>
            <w:tcW w:w="1903" w:type="dxa"/>
            <w:shd w:val="clear" w:color="FFFFFF" w:fill="auto"/>
            <w:vAlign w:val="bottom"/>
          </w:tcPr>
          <w:p w:rsidR="00556947" w:rsidRDefault="00556947"/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56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56947" w:rsidRDefault="00E84F9C"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E84F9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6947"/>
    <w:rsid w:val="00556947"/>
    <w:rsid w:val="00E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4E47A-A19F-4D36-8919-CA5A1BEF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2216</Words>
  <Characters>12634</Characters>
  <Application>Microsoft Office Word</Application>
  <DocSecurity>0</DocSecurity>
  <Lines>105</Lines>
  <Paragraphs>29</Paragraphs>
  <ScaleCrop>false</ScaleCrop>
  <Company/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2018-12-10T01:43:00Z</dcterms:created>
  <dcterms:modified xsi:type="dcterms:W3CDTF">2018-12-10T01:43:00Z</dcterms:modified>
</cp:coreProperties>
</file>