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1"/>
        <w:gridCol w:w="2997"/>
        <w:gridCol w:w="4725"/>
        <w:gridCol w:w="977"/>
        <w:gridCol w:w="1115"/>
        <w:gridCol w:w="1279"/>
        <w:gridCol w:w="1752"/>
        <w:gridCol w:w="1577"/>
        <w:gridCol w:w="572"/>
      </w:tblGrid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3708" w:type="dxa"/>
            <w:gridSpan w:val="2"/>
            <w:shd w:val="clear" w:color="FFFFFF" w:fill="auto"/>
            <w:vAlign w:val="bottom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>
            <w:pPr>
              <w:jc w:val="center"/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2394" w:type="dxa"/>
            <w:gridSpan w:val="2"/>
            <w:shd w:val="clear" w:color="FFFFFF" w:fill="auto"/>
            <w:vAlign w:val="bottom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3708" w:type="dxa"/>
            <w:gridSpan w:val="2"/>
            <w:shd w:val="clear" w:color="FFFFFF" w:fill="auto"/>
            <w:vAlign w:val="bottom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>
            <w:pPr>
              <w:jc w:val="center"/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3708" w:type="dxa"/>
            <w:gridSpan w:val="2"/>
            <w:shd w:val="clear" w:color="FFFFFF" w:fill="auto"/>
            <w:vAlign w:val="bottom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>
            <w:pPr>
              <w:jc w:val="center"/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3708" w:type="dxa"/>
            <w:gridSpan w:val="2"/>
            <w:shd w:val="clear" w:color="FFFFFF" w:fill="auto"/>
            <w:vAlign w:val="bottom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>
            <w:pPr>
              <w:jc w:val="center"/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3708" w:type="dxa"/>
            <w:gridSpan w:val="2"/>
            <w:shd w:val="clear" w:color="FFFFFF" w:fill="auto"/>
            <w:vAlign w:val="bottom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>
            <w:pPr>
              <w:jc w:val="center"/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RPr="00227F36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3708" w:type="dxa"/>
            <w:gridSpan w:val="2"/>
            <w:shd w:val="clear" w:color="FFFFFF" w:fill="auto"/>
            <w:vAlign w:val="bottom"/>
          </w:tcPr>
          <w:p w:rsidR="00D40EAF" w:rsidRPr="00227F36" w:rsidRDefault="0055546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27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27F3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27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27F3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27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7F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25" w:type="dxa"/>
            <w:shd w:val="clear" w:color="FFFFFF" w:fill="auto"/>
            <w:vAlign w:val="bottom"/>
          </w:tcPr>
          <w:p w:rsidR="00D40EAF" w:rsidRPr="00227F36" w:rsidRDefault="00D40EAF">
            <w:pPr>
              <w:jc w:val="center"/>
              <w:rPr>
                <w:lang w:val="en-US"/>
              </w:rPr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40EAF" w:rsidRPr="00227F36" w:rsidRDefault="00D40EAF">
            <w:pPr>
              <w:rPr>
                <w:lang w:val="en-US"/>
              </w:rPr>
            </w:pPr>
          </w:p>
        </w:tc>
        <w:tc>
          <w:tcPr>
            <w:tcW w:w="1115" w:type="dxa"/>
            <w:shd w:val="clear" w:color="FFFFFF" w:fill="auto"/>
            <w:vAlign w:val="bottom"/>
          </w:tcPr>
          <w:p w:rsidR="00D40EAF" w:rsidRPr="00227F36" w:rsidRDefault="00D40EAF">
            <w:pPr>
              <w:rPr>
                <w:lang w:val="en-US"/>
              </w:rPr>
            </w:pPr>
          </w:p>
        </w:tc>
        <w:tc>
          <w:tcPr>
            <w:tcW w:w="1279" w:type="dxa"/>
            <w:shd w:val="clear" w:color="FFFFFF" w:fill="auto"/>
            <w:vAlign w:val="bottom"/>
          </w:tcPr>
          <w:p w:rsidR="00D40EAF" w:rsidRPr="00227F36" w:rsidRDefault="00D40EAF">
            <w:pPr>
              <w:rPr>
                <w:lang w:val="en-US"/>
              </w:rPr>
            </w:pPr>
          </w:p>
        </w:tc>
        <w:tc>
          <w:tcPr>
            <w:tcW w:w="1752" w:type="dxa"/>
            <w:shd w:val="clear" w:color="FFFFFF" w:fill="auto"/>
            <w:vAlign w:val="bottom"/>
          </w:tcPr>
          <w:p w:rsidR="00D40EAF" w:rsidRPr="00227F36" w:rsidRDefault="00D40EAF">
            <w:pPr>
              <w:rPr>
                <w:lang w:val="en-US"/>
              </w:rPr>
            </w:pPr>
          </w:p>
        </w:tc>
        <w:tc>
          <w:tcPr>
            <w:tcW w:w="1577" w:type="dxa"/>
            <w:shd w:val="clear" w:color="FFFFFF" w:fill="auto"/>
            <w:vAlign w:val="bottom"/>
          </w:tcPr>
          <w:p w:rsidR="00D40EAF" w:rsidRPr="00227F36" w:rsidRDefault="00D40EAF">
            <w:pPr>
              <w:rPr>
                <w:lang w:val="en-US"/>
              </w:rPr>
            </w:pPr>
          </w:p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3708" w:type="dxa"/>
            <w:gridSpan w:val="2"/>
            <w:shd w:val="clear" w:color="FFFFFF" w:fill="auto"/>
            <w:vAlign w:val="bottom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>
            <w:pPr>
              <w:jc w:val="center"/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3708" w:type="dxa"/>
            <w:gridSpan w:val="2"/>
            <w:shd w:val="clear" w:color="FFFFFF" w:fill="auto"/>
            <w:vAlign w:val="bottom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>
            <w:pPr>
              <w:jc w:val="center"/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327"/>
        </w:trPr>
        <w:tc>
          <w:tcPr>
            <w:tcW w:w="3708" w:type="dxa"/>
            <w:gridSpan w:val="2"/>
            <w:shd w:val="clear" w:color="FFFFFF" w:fill="auto"/>
            <w:vAlign w:val="bottom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>
            <w:pPr>
              <w:jc w:val="center"/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3708" w:type="dxa"/>
            <w:gridSpan w:val="2"/>
            <w:shd w:val="clear" w:color="FFFFFF" w:fill="auto"/>
            <w:vAlign w:val="bottom"/>
          </w:tcPr>
          <w:p w:rsidR="00D40EAF" w:rsidRDefault="00227F36" w:rsidP="00227F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  <w:r w:rsidR="00555469">
              <w:rPr>
                <w:rFonts w:ascii="Times New Roman" w:hAnsi="Times New Roman"/>
                <w:sz w:val="24"/>
                <w:szCs w:val="24"/>
              </w:rPr>
              <w:t>2</w:t>
            </w:r>
            <w:r w:rsidR="00555469">
              <w:rPr>
                <w:rFonts w:ascii="Times New Roman" w:hAnsi="Times New Roman"/>
                <w:sz w:val="24"/>
                <w:szCs w:val="24"/>
              </w:rPr>
              <w:t>017 г. №.</w:t>
            </w:r>
            <w:r>
              <w:rPr>
                <w:rFonts w:ascii="Times New Roman" w:hAnsi="Times New Roman"/>
                <w:sz w:val="24"/>
                <w:szCs w:val="24"/>
              </w:rPr>
              <w:t>75-2018</w:t>
            </w:r>
          </w:p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>
            <w:pPr>
              <w:jc w:val="center"/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3708" w:type="dxa"/>
            <w:gridSpan w:val="2"/>
            <w:shd w:val="clear" w:color="FFFFFF" w:fill="auto"/>
            <w:vAlign w:val="bottom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>
            <w:pPr>
              <w:jc w:val="center"/>
            </w:pPr>
          </w:p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shd w:val="clear" w:color="FFFFFF" w:fill="auto"/>
            <w:vAlign w:val="bottom"/>
          </w:tcPr>
          <w:p w:rsidR="00D40EAF" w:rsidRDefault="00D40EAF"/>
        </w:tc>
        <w:tc>
          <w:tcPr>
            <w:tcW w:w="2997" w:type="dxa"/>
            <w:shd w:val="clear" w:color="FFFFFF" w:fill="auto"/>
            <w:vAlign w:val="bottom"/>
          </w:tcPr>
          <w:p w:rsidR="00D40EAF" w:rsidRDefault="00D40EAF"/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/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shd w:val="clear" w:color="FFFFFF" w:fill="auto"/>
            <w:vAlign w:val="bottom"/>
          </w:tcPr>
          <w:p w:rsidR="00D40EAF" w:rsidRDefault="00D40EAF"/>
        </w:tc>
        <w:tc>
          <w:tcPr>
            <w:tcW w:w="2997" w:type="dxa"/>
            <w:shd w:val="clear" w:color="FFFFFF" w:fill="auto"/>
            <w:vAlign w:val="bottom"/>
          </w:tcPr>
          <w:p w:rsidR="00D40EAF" w:rsidRDefault="00D40EAF"/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/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11804" w:type="dxa"/>
            <w:gridSpan w:val="6"/>
            <w:shd w:val="clear" w:color="FFFFFF" w:fill="auto"/>
            <w:vAlign w:val="bottom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11804" w:type="dxa"/>
            <w:gridSpan w:val="6"/>
            <w:shd w:val="clear" w:color="FFFFFF" w:fill="auto"/>
            <w:vAlign w:val="bottom"/>
          </w:tcPr>
          <w:p w:rsidR="00D40EAF" w:rsidRDefault="00555469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t xml:space="preserve">Реактив порошкообразный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Азопирам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контроля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очистки) или эквивалент</w:t>
            </w:r>
          </w:p>
        </w:tc>
        <w:tc>
          <w:tcPr>
            <w:tcW w:w="4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t>Порошкообразный реактив на 100 мл готового раствора (срок хранения раствора - 1 месяц). Предназначен для определения следов крови, следов ржавчины, стирального порошка с отбеливателями, окислителей (хлорамина, хлорной извести,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хромовой смеси и др.),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растительного происхождения (растительных остатков) и кислот на изделиях медицинского назначения при контроле качества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очистки.  Остаточный срок годности на момент поставки должен быть не менее 80%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указанного производителем.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паровой стерилизации 600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600 мм, с чередованием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листов белого и зеленого (голубого) цвета №500 или эквивалент</w:t>
            </w:r>
          </w:p>
        </w:tc>
        <w:tc>
          <w:tcPr>
            <w:tcW w:w="4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Бумага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предназначена для упаковки медицинских изделий  перед стерилизацией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целью сохранения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стерильности после стерилизации, а также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транспортивровки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600*600 мм (±10мм), с чередованием листов разных цветов (упаковка не менее 500 листов) плотность не менее 60 г/см2, Сырье - не менее 95% распушенная целлюлоза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ECF (отбеленная без применения хлора).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Гидрофобна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защищает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контоминации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Бумага  соответствует ГОСТ Р ИСО 11607-2003. Срок хранения после стерилизации не менее 6 месяцев. 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годгости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бумаги не менее 5 лет, информация о сроке годности нанесена на тран</w:t>
            </w:r>
            <w:r>
              <w:rPr>
                <w:rFonts w:ascii="Times New Roman" w:hAnsi="Times New Roman"/>
                <w:sz w:val="24"/>
                <w:szCs w:val="24"/>
              </w:rPr>
              <w:t>спортировочную коробку.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t xml:space="preserve">Индикатор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 –180/60-01-1 №500 или эквивалент</w:t>
            </w:r>
          </w:p>
        </w:tc>
        <w:tc>
          <w:tcPr>
            <w:tcW w:w="4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t xml:space="preserve">Класс не ниже 4 по ГОСТ Р ИСО 11140-1-2009 -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индикаторы, предназначен для визуального контроля соблюдения не менее трех критических переменных паровой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 – температуры стерилизации, времени стерилизационной выдержки и наличия насыщенного водяного пара  снаружи  бумажных, комбинированных упаковок, стерилизационных коробок, текстильных, металлических и других укладок в контрольных точках 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изационной камеры гравитационных паровых стерилизаторах. Контролируемый режим стерилизации в пределах: 180±2°С/60+2 минут  Индикатор прямоугольной формы на бумажно-пленочной основе с нанесением на лицевой стороне двух цветных меток - индикаторной и элемент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сравнения того цвета, который приобретает первая при соблюдении параметров стерилизации и маркировки. Лицевая поверхность индикатора ламинирована паропроницаемой, водозащитной пленкой. Обратная сторона с липким слоем закрытым двумя половинками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защитной б</w:t>
            </w:r>
            <w:r>
              <w:rPr>
                <w:rFonts w:ascii="Times New Roman" w:hAnsi="Times New Roman"/>
                <w:sz w:val="24"/>
                <w:szCs w:val="24"/>
              </w:rPr>
              <w:t>умаги. Производятся в листах с точечной перфорацией между индикаторами. Гарантийный срок не мене 36 месяцев. В упаковке должно быть 500  тестов в комплекте с журналом Ф.257/у. Наименование индикатора, вид стерилизации, класс по ГОСТ, дата изготовления, сро</w:t>
            </w:r>
            <w:r>
              <w:rPr>
                <w:rFonts w:ascii="Times New Roman" w:hAnsi="Times New Roman"/>
                <w:sz w:val="24"/>
                <w:szCs w:val="24"/>
              </w:rPr>
              <w:t>к годности, номер партии, условия хранения, штамп ОТК и реквизиты предприятия-изготовителя должны быть указаны на упаковке индикатора.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t xml:space="preserve">Пакеты плоские для паровой стерилизации самоклеющиеся 130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250 мм №200 или эквивалент</w:t>
            </w:r>
          </w:p>
        </w:tc>
        <w:tc>
          <w:tcPr>
            <w:tcW w:w="4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t xml:space="preserve">Пакеты комбинированные </w:t>
            </w:r>
            <w:r>
              <w:rPr>
                <w:rFonts w:ascii="Times New Roman" w:hAnsi="Times New Roman"/>
                <w:sz w:val="24"/>
                <w:szCs w:val="24"/>
              </w:rPr>
              <w:t>(бумага-пленка)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 стерилизации, во время последующей их транспортировки и хранения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по назначению. Упаковка соответствует международному стандарту EN 868 и отвечает требованиям, предъявляемым к медицинским стерилизационным упаковочным материалам. Изготовлены из прозрачной окрашенной многослойной полимерной (полиэстер/полипр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выступающей части бумажной стороны пакета (клапане) нанесен липкий слой, закрытый защитной полоской бумаги, который поз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воляет герметично запечатывать пакеты без использования специального оборудования. На лицевой стороне нанесены обозначения: торговая марка, маркировка типоразмера, запрещение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использования в случае повреждения упаковки, направление вскрытия упаковки при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простерилизованного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изделия, цветные химические индикаторы 3 шт. с описанием цвета, приобретаемого индикатором после стерилизации. Плотность бумажной основы – не менее 60г/м2. Количество слоев пленки не менее 5. Срок хранения изделий,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простерилизо</w:t>
            </w:r>
            <w:r>
              <w:rPr>
                <w:rFonts w:ascii="Times New Roman" w:hAnsi="Times New Roman"/>
                <w:sz w:val="24"/>
                <w:szCs w:val="24"/>
              </w:rPr>
              <w:t>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 – не менее 2 лет. Срок годности упаковки не менее 5 лет. Продукция должна иметь сертификат соответствия и регистрационное удостоверение Минздрава РФ, а также методические указания по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130х250мм (±5мм), не менее 200 штук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t>Пакеты самоклеющиеся "ПИК-ПАК" ПС90х250 (200шт. ) или эквивалент</w:t>
            </w:r>
          </w:p>
        </w:tc>
        <w:tc>
          <w:tcPr>
            <w:tcW w:w="4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t>Индикатор Интест-П-134/5-02 №1000 или эквивалент</w:t>
            </w:r>
          </w:p>
        </w:tc>
        <w:tc>
          <w:tcPr>
            <w:tcW w:w="47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r>
              <w:rPr>
                <w:rFonts w:ascii="Times New Roman" w:hAnsi="Times New Roman"/>
                <w:sz w:val="24"/>
                <w:szCs w:val="24"/>
              </w:rPr>
              <w:t>Класс не ниже 4 по ГОСТ Р ИСО 11140-1-2009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индикаторы, предназначен для визуального контроля соблюдения не менее трех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критических переменных паровой стерилизации – температуры стерилизации, времени стерилизационной выдержки и наличия насыщенного водяного пара при размещении как снаружи упаковок и изделий в контрольных точках стерилизационной камеры, так и внутри бумажных,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комбинированных упаковок, стерилизационных коробок, текстильных, металлических и других укладок, трубчатых или массивных трудно стерилизуемых изделий с полостями при их стерилизации в форвакуумных паровых стерилизаторах, изготовленных по ГОСТ Р 19569-89.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Контролируемый режим стерилизации: 134±1°С/5+1 минут и давление пара 0,21±0,01 МПа. Индикатор прямоугольной формы на бумажно-пленочной основе с нанесенными на лицевой стороне двумя цветными метками - индикаторной и элемента сравнения того цвета, который пр</w:t>
            </w:r>
            <w:r>
              <w:rPr>
                <w:rFonts w:ascii="Times New Roman" w:hAnsi="Times New Roman"/>
                <w:sz w:val="24"/>
                <w:szCs w:val="24"/>
              </w:rPr>
              <w:t>иобретает первая при соблюдении параметров стерилизации, и маркировки. Индикаторный агент не должен отпечатываться от подложки, проникать через неё, переходить на материал, с которым индикатор может соприкасаться до, в течение или после соответствующего ре</w:t>
            </w:r>
            <w:r>
              <w:rPr>
                <w:rFonts w:ascii="Times New Roman" w:hAnsi="Times New Roman"/>
                <w:sz w:val="24"/>
                <w:szCs w:val="24"/>
              </w:rPr>
              <w:t>жима стерилизации. Лицевая поверхность ламинирована паропроницаемой, водозащитной пленкой. Обратная сторона с липким слоем для фиксации в месте контроля и документах архива, закрытым двумя половинками защитной бумаги. Производится в листах с точечной перфо</w:t>
            </w:r>
            <w:r>
              <w:rPr>
                <w:rFonts w:ascii="Times New Roman" w:hAnsi="Times New Roman"/>
                <w:sz w:val="24"/>
                <w:szCs w:val="24"/>
              </w:rPr>
              <w:t>рацией между индикаторами. Гарантийный срок не менее 36 месяцев. Остаточный срок годности на момент поставки – не менее 80% . Поставляется комплектами по 1000  тестов с журналом Ф.257/у. Наименование индикатора, вид стерилизации, класс по ГОСТ, дата изгото</w:t>
            </w:r>
            <w:r>
              <w:rPr>
                <w:rFonts w:ascii="Times New Roman" w:hAnsi="Times New Roman"/>
                <w:sz w:val="24"/>
                <w:szCs w:val="24"/>
              </w:rPr>
              <w:t>вления, срок годности, номер партии, условия хранения, штамп ОТК и реквизиты предприятия-изготовителя должны быть указаны на упаковке индикатора.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1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55546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>
            <w:pPr>
              <w:jc w:val="center"/>
            </w:pPr>
          </w:p>
        </w:tc>
        <w:tc>
          <w:tcPr>
            <w:tcW w:w="17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  <w:tc>
          <w:tcPr>
            <w:tcW w:w="15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0EAF" w:rsidRDefault="00555469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поставки: с момента заключения по 20.12.2018г., по потребности Заказчика 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 с заявкой.</w:t>
            </w:r>
          </w:p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11804" w:type="dxa"/>
            <w:gridSpan w:val="6"/>
            <w:shd w:val="clear" w:color="FFFFFF" w:fill="auto"/>
            <w:vAlign w:val="bottom"/>
          </w:tcPr>
          <w:p w:rsidR="00D40EAF" w:rsidRDefault="00555469"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доставки, разгрузки до КГБУЗ «Краевая клиническая больница» г.Красноярск.</w:t>
            </w:r>
          </w:p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210"/>
        </w:trPr>
        <w:tc>
          <w:tcPr>
            <w:tcW w:w="15133" w:type="dxa"/>
            <w:gridSpan w:val="8"/>
            <w:vMerge w:val="restart"/>
            <w:shd w:val="clear" w:color="FFFFFF" w:fill="auto"/>
            <w:vAlign w:val="bottom"/>
          </w:tcPr>
          <w:p w:rsidR="00D40EAF" w:rsidRDefault="00555469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</w:t>
            </w:r>
            <w:r>
              <w:rPr>
                <w:rFonts w:ascii="Times New Roman" w:hAnsi="Times New Roman"/>
                <w:sz w:val="28"/>
                <w:szCs w:val="28"/>
              </w:rPr>
              <w:t>Красноярск, ул. Партизана Железняка 3-б, отдел обеспечения государственных закупок, тел. 220-16-04.</w:t>
            </w:r>
          </w:p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210"/>
        </w:trPr>
        <w:tc>
          <w:tcPr>
            <w:tcW w:w="15133" w:type="dxa"/>
            <w:gridSpan w:val="8"/>
            <w:vMerge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0EAF" w:rsidRDefault="00555469"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 принимаются в течение 5 календарных дней.</w:t>
            </w:r>
          </w:p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shd w:val="clear" w:color="FFFFFF" w:fill="auto"/>
            <w:vAlign w:val="bottom"/>
          </w:tcPr>
          <w:p w:rsidR="00D40EAF" w:rsidRDefault="00D40EAF"/>
        </w:tc>
        <w:tc>
          <w:tcPr>
            <w:tcW w:w="2997" w:type="dxa"/>
            <w:shd w:val="clear" w:color="FFFFFF" w:fill="auto"/>
            <w:vAlign w:val="bottom"/>
          </w:tcPr>
          <w:p w:rsidR="00D40EAF" w:rsidRDefault="00D40EAF"/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/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shd w:val="clear" w:color="FFFFFF" w:fill="auto"/>
            <w:vAlign w:val="bottom"/>
          </w:tcPr>
          <w:p w:rsidR="00D40EAF" w:rsidRDefault="00D40EAF"/>
        </w:tc>
        <w:tc>
          <w:tcPr>
            <w:tcW w:w="2997" w:type="dxa"/>
            <w:shd w:val="clear" w:color="FFFFFF" w:fill="auto"/>
            <w:vAlign w:val="bottom"/>
          </w:tcPr>
          <w:p w:rsidR="00D40EAF" w:rsidRDefault="00D40EAF"/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/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shd w:val="clear" w:color="FFFFFF" w:fill="auto"/>
            <w:vAlign w:val="bottom"/>
          </w:tcPr>
          <w:p w:rsidR="00D40EAF" w:rsidRDefault="00D40EAF"/>
        </w:tc>
        <w:tc>
          <w:tcPr>
            <w:tcW w:w="2997" w:type="dxa"/>
            <w:shd w:val="clear" w:color="FFFFFF" w:fill="auto"/>
            <w:vAlign w:val="bottom"/>
          </w:tcPr>
          <w:p w:rsidR="00D40EAF" w:rsidRDefault="00D40EAF"/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/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0EAF" w:rsidRDefault="00555469" w:rsidP="00555469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И.О. Куликова</w:t>
            </w:r>
          </w:p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shd w:val="clear" w:color="FFFFFF" w:fill="auto"/>
            <w:vAlign w:val="bottom"/>
          </w:tcPr>
          <w:p w:rsidR="00D40EAF" w:rsidRDefault="00D40EAF"/>
        </w:tc>
        <w:tc>
          <w:tcPr>
            <w:tcW w:w="2997" w:type="dxa"/>
            <w:shd w:val="clear" w:color="FFFFFF" w:fill="auto"/>
            <w:vAlign w:val="bottom"/>
          </w:tcPr>
          <w:p w:rsidR="00D40EAF" w:rsidRDefault="00D40EAF"/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/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shd w:val="clear" w:color="FFFFFF" w:fill="auto"/>
            <w:vAlign w:val="bottom"/>
          </w:tcPr>
          <w:p w:rsidR="00D40EAF" w:rsidRDefault="00D40EAF"/>
        </w:tc>
        <w:tc>
          <w:tcPr>
            <w:tcW w:w="2997" w:type="dxa"/>
            <w:shd w:val="clear" w:color="FFFFFF" w:fill="auto"/>
            <w:vAlign w:val="bottom"/>
          </w:tcPr>
          <w:p w:rsidR="00D40EAF" w:rsidRDefault="00D40EAF"/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/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shd w:val="clear" w:color="FFFFFF" w:fill="auto"/>
            <w:vAlign w:val="bottom"/>
          </w:tcPr>
          <w:p w:rsidR="00D40EAF" w:rsidRDefault="00D40EAF"/>
        </w:tc>
        <w:tc>
          <w:tcPr>
            <w:tcW w:w="2997" w:type="dxa"/>
            <w:shd w:val="clear" w:color="FFFFFF" w:fill="auto"/>
            <w:vAlign w:val="bottom"/>
          </w:tcPr>
          <w:p w:rsidR="00D40EAF" w:rsidRDefault="00D40EAF"/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/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72" w:type="dxa"/>
          <w:trHeight w:val="60"/>
        </w:trPr>
        <w:tc>
          <w:tcPr>
            <w:tcW w:w="711" w:type="dxa"/>
            <w:shd w:val="clear" w:color="FFFFFF" w:fill="auto"/>
            <w:vAlign w:val="bottom"/>
          </w:tcPr>
          <w:p w:rsidR="00D40EAF" w:rsidRDefault="00D40EAF"/>
        </w:tc>
        <w:tc>
          <w:tcPr>
            <w:tcW w:w="2997" w:type="dxa"/>
            <w:shd w:val="clear" w:color="FFFFFF" w:fill="auto"/>
            <w:vAlign w:val="bottom"/>
          </w:tcPr>
          <w:p w:rsidR="00D40EAF" w:rsidRDefault="00D40EAF"/>
        </w:tc>
        <w:tc>
          <w:tcPr>
            <w:tcW w:w="4725" w:type="dxa"/>
            <w:shd w:val="clear" w:color="FFFFFF" w:fill="auto"/>
            <w:vAlign w:val="bottom"/>
          </w:tcPr>
          <w:p w:rsidR="00D40EAF" w:rsidRDefault="00D40EAF"/>
        </w:tc>
        <w:tc>
          <w:tcPr>
            <w:tcW w:w="977" w:type="dxa"/>
            <w:shd w:val="clear" w:color="FFFFFF" w:fill="auto"/>
            <w:vAlign w:val="bottom"/>
          </w:tcPr>
          <w:p w:rsidR="00D40EAF" w:rsidRDefault="00D40EAF"/>
        </w:tc>
        <w:tc>
          <w:tcPr>
            <w:tcW w:w="1115" w:type="dxa"/>
            <w:shd w:val="clear" w:color="FFFFFF" w:fill="auto"/>
            <w:vAlign w:val="bottom"/>
          </w:tcPr>
          <w:p w:rsidR="00D40EAF" w:rsidRDefault="00D40EAF"/>
        </w:tc>
        <w:tc>
          <w:tcPr>
            <w:tcW w:w="1279" w:type="dxa"/>
            <w:shd w:val="clear" w:color="FFFFFF" w:fill="auto"/>
            <w:vAlign w:val="bottom"/>
          </w:tcPr>
          <w:p w:rsidR="00D40EAF" w:rsidRDefault="00D40EAF"/>
        </w:tc>
        <w:tc>
          <w:tcPr>
            <w:tcW w:w="1752" w:type="dxa"/>
            <w:shd w:val="clear" w:color="FFFFFF" w:fill="auto"/>
            <w:vAlign w:val="bottom"/>
          </w:tcPr>
          <w:p w:rsidR="00D40EAF" w:rsidRDefault="00D40EAF"/>
        </w:tc>
        <w:tc>
          <w:tcPr>
            <w:tcW w:w="1577" w:type="dxa"/>
            <w:shd w:val="clear" w:color="FFFFFF" w:fill="auto"/>
            <w:vAlign w:val="bottom"/>
          </w:tcPr>
          <w:p w:rsidR="00D40EAF" w:rsidRDefault="00D40EAF"/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0EAF" w:rsidRDefault="00555469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D40EAF" w:rsidTr="0055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05" w:type="dxa"/>
            <w:gridSpan w:val="9"/>
            <w:shd w:val="clear" w:color="FFFFFF" w:fill="auto"/>
            <w:vAlign w:val="bottom"/>
          </w:tcPr>
          <w:p w:rsidR="00D40EAF" w:rsidRDefault="00555469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555469"/>
    <w:sectPr w:rsidR="00000000" w:rsidSect="00D40EA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D40EAF"/>
    <w:rsid w:val="00227F36"/>
    <w:rsid w:val="00555469"/>
    <w:rsid w:val="00D4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40EA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6742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3</cp:revision>
  <dcterms:created xsi:type="dcterms:W3CDTF">2018-02-09T06:55:00Z</dcterms:created>
  <dcterms:modified xsi:type="dcterms:W3CDTF">2018-02-09T06:56:00Z</dcterms:modified>
</cp:coreProperties>
</file>