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51"/>
        <w:gridCol w:w="2870"/>
        <w:gridCol w:w="4971"/>
        <w:gridCol w:w="765"/>
        <w:gridCol w:w="1130"/>
        <w:gridCol w:w="1292"/>
        <w:gridCol w:w="1754"/>
        <w:gridCol w:w="1583"/>
        <w:gridCol w:w="589"/>
      </w:tblGrid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RP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Pr="00832F38" w:rsidRDefault="00832F3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2F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2F3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2F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2F3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2F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2F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Pr="00832F38" w:rsidRDefault="00385D37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Pr="00832F38" w:rsidRDefault="00385D37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385D37" w:rsidRPr="00832F38" w:rsidRDefault="00385D37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385D37" w:rsidRPr="00832F38" w:rsidRDefault="00385D37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385D37" w:rsidRPr="00832F38" w:rsidRDefault="00385D37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385D37" w:rsidRPr="00832F38" w:rsidRDefault="00385D37">
            <w:pPr>
              <w:rPr>
                <w:lang w:val="en-US"/>
              </w:rPr>
            </w:pPr>
          </w:p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 w:rsidP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017 г. №.682-2017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3399" w:type="dxa"/>
            <w:shd w:val="clear" w:color="FFFFFF" w:fill="auto"/>
            <w:vAlign w:val="bottom"/>
          </w:tcPr>
          <w:p w:rsidR="00385D37" w:rsidRDefault="00385D37"/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/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3399" w:type="dxa"/>
            <w:shd w:val="clear" w:color="FFFFFF" w:fill="auto"/>
            <w:vAlign w:val="bottom"/>
          </w:tcPr>
          <w:p w:rsidR="00385D37" w:rsidRDefault="00385D37"/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/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стента мочеточникового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подвижным сердечником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0,035, 150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Нитиноловый проводник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тип проводника - прямой наконечник, проводник с подвижным сердечником, длина проводника 150 см, диаметр 0,035", жесткость - стандартная.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</w:t>
            </w:r>
            <w:r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стента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0,035, 100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Проводник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 из нержавеющей медицинской стали, диаметром 0,035 дюйма, длиной не менее 100 см. Состоит из трех частей: J- образного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наконечника не менее 7 см, жесткой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немоделируемой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части 29-31 см и остальной части струны, которая должна быть гибкой. Проводник упакован в чехол белого цвета,  имеет удобную рукоятку для вращения. Поставляется в стерильной упаковке.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эвакуации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морцелляции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органов и тканей с доставкой 950 мл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эвакуации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морцеляции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органов и тканей, для предназначено однократного использования . Должны быть изготовлены из нейлоновой ткани (полиамид 66 нейлон), с </w:t>
            </w:r>
            <w:r>
              <w:rPr>
                <w:rFonts w:ascii="Times New Roman" w:hAnsi="Times New Roman"/>
                <w:sz w:val="24"/>
                <w:szCs w:val="24"/>
              </w:rPr>
              <w:t>упрочнённым плетением, покрытой полиуретановым эластомером.  плотность плетения долевых нитей не менее 50 (нить/см2), плотность плетения поперечных нитей не менее 50 (нить/см2), плотность плетения упрочненных нитей не менее 3 (нить/см2), герметичность, мак</w:t>
            </w:r>
            <w:r>
              <w:rPr>
                <w:rFonts w:ascii="Times New Roman" w:hAnsi="Times New Roman"/>
                <w:sz w:val="24"/>
                <w:szCs w:val="24"/>
              </w:rPr>
              <w:t>симальное усилие на разрыв ткани не менее 350 Н/50 мм, максимальное усилие на разрыв швов не менее 123 Н/50 мм,  диаметр отверстия не менее 62 (±0,5) мм и не более 66 (±0,5) мм, длина мешка от верха до низа не менее 62 (±0,3) мм и не более 66 (±0,3) мм,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сса изделия не более 0,05 кг, петли для введения устройства (1-4),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вещество - BaSO4 не менее 60%, петля для закрывания устройства, цвет белый, прозрачный, цветные метки для ориентации устройства в полости, объ</w:t>
            </w:r>
            <w:r>
              <w:rPr>
                <w:rFonts w:ascii="Times New Roman" w:hAnsi="Times New Roman"/>
                <w:sz w:val="24"/>
                <w:szCs w:val="24"/>
              </w:rPr>
              <w:t>ём устройства не менее  850 мл и не более 950 мл, срок годности не менее 5 лет. Механизм открытия  мешка: должен раскрываться за счет специальной системы внедрения, состоящей из стержня с подвижными клещами,  вставленными в отверстие по краю мешка. Проталк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ивание стержня вперед должно раскрывать мешок. Механизм закрытия мешка: должны содержать длинный хвост безопасности, в который помещена проволока, предназначенная для закрытия мешка после удаления стержня и подвижных частей.  Должны быть  стерильны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</w:t>
            </w:r>
            <w:r>
              <w:rPr>
                <w:rFonts w:ascii="Times New Roman" w:hAnsi="Times New Roman"/>
                <w:sz w:val="24"/>
                <w:szCs w:val="24"/>
              </w:rPr>
              <w:t>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>Протез полового члена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Комплект из двух сложносоставных стержней, покрытых двухслойной силиконовой оболочкой наличие. Полужесткая сгибаемая конструкция протеза. Возможные диаметры стержней 9,5мм; 11мм; 13 мм.  Гидрофильное покрытие </w:t>
            </w:r>
            <w:r>
              <w:rPr>
                <w:rFonts w:ascii="Times New Roman" w:hAnsi="Times New Roman"/>
                <w:sz w:val="24"/>
                <w:szCs w:val="24"/>
              </w:rPr>
              <w:t>стрежней протеза и прилагаемых колпачков, обеспечивающее абсорбцию антибактериальных растворов перед имплантацией. Наличие спиралей из двух кордов из сплава титана и серебра с памятью формы. Длина спирали не более 1/2 от общей длины стержня протеза. Дистал</w:t>
            </w:r>
            <w:r>
              <w:rPr>
                <w:rFonts w:ascii="Times New Roman" w:hAnsi="Times New Roman"/>
                <w:sz w:val="24"/>
                <w:szCs w:val="24"/>
              </w:rPr>
              <w:t>ьные концы стержней конусовидной анатомической формы. Набор анатомических колпачков, устанавливающихся на проксимальный конец стержня протеза, не менее 6 шт. Возможность удлинения проксимального конца стержня протеза за счет колпачка на длины, не менее +0,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5см; +1 см.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персонализации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стержней протеза, путем обрезания проксимальной части. Мерная шкала, нанесённая на боковые поверхности стержней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фаллопротеза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для точного укорочения проксимальной части. На дистальной части стержней указан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ный номер протеза, соответствующий наклейке для гарантии. Минимально возможная длина протезов, не более 14 см.  Максимально возможная длина протезов, не менее 27 см. Двойная стерильная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изогнутые </w:t>
            </w:r>
            <w:r>
              <w:rPr>
                <w:rFonts w:ascii="Times New Roman" w:hAnsi="Times New Roman"/>
                <w:sz w:val="24"/>
                <w:szCs w:val="24"/>
              </w:rPr>
              <w:t>HARMONIC ACE+ 5,0 мм, длина 36 см, с технологией АТТ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ствола не менее 36 см, диаметр ствола не более 5,5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Наличие: антибликовое покрытие ствола, пистолетная рукоятка куркового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 длинной не более 15 мм, шириной не более 1,5 мм, высотой не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шириной не более 2,5 мм, 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генератором HARMONIC GEN04. Поставляется стерильным.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М1.5 (4/0), неокрашенный 70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ткани.(из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Нить не окрашена. Для толщины нити 6-0 </w:t>
            </w:r>
            <w:r>
              <w:rPr>
                <w:rFonts w:ascii="Times New Roman" w:hAnsi="Times New Roman"/>
                <w:sz w:val="24"/>
                <w:szCs w:val="24"/>
              </w:rPr>
              <w:t>и 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 раневой инфекции в различ</w:t>
            </w:r>
            <w:r>
              <w:rPr>
                <w:rFonts w:ascii="Times New Roman" w:hAnsi="Times New Roman"/>
                <w:sz w:val="24"/>
                <w:szCs w:val="24"/>
              </w:rPr>
              <w:t>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М1.5 (4/0),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 , что предотвращает необходимость замены иглы. Игла имеет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конструкцию, увеличивающую надежность ее фиксации в иглодержателе,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3/8 окружности, 18-19 мм. Индивидуальная стерильная упаковка из 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</w:t>
            </w:r>
            <w:r>
              <w:rPr>
                <w:rFonts w:ascii="Times New Roman" w:hAnsi="Times New Roman"/>
                <w:sz w:val="24"/>
                <w:szCs w:val="24"/>
              </w:rPr>
              <w:t>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(3/0), неокрашенный 70 см,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 мм, 3/8,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нити через ткани(из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не окрашена. Для толщины нити 6-0 и более нить сохраняет 75% прочности на разрыв IN VIVO через 2 недели, 50% через 3 недели, 25% через 4 недели, срок полного рассасывания 56-70 д</w:t>
            </w:r>
            <w:r>
              <w:rPr>
                <w:rFonts w:ascii="Times New Roman" w:hAnsi="Times New Roman"/>
                <w:sz w:val="24"/>
                <w:szCs w:val="24"/>
              </w:rPr>
              <w:t>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М2 (3/0),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нную устойчивость к необратимой деформации (изгибу), что предотвращает необходимость замены иглы. Игла имеет конструкцию, увеличивающую надежность ее фиксации в иглодержателе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обратно-режущая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3/8 окружности, 24 мм. Индивидуальная стерильная упаковка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фольги, защищающая содержимое от влаги, одинарная, обеспечивающая доступ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</w:t>
            </w:r>
            <w:r>
              <w:rPr>
                <w:rFonts w:ascii="Times New Roman" w:hAnsi="Times New Roman"/>
                <w:sz w:val="24"/>
                <w:szCs w:val="24"/>
              </w:rPr>
              <w:t>ок годности, установленный производителем, не менее 3х лет с даты изготовления.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Викрил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Плюс М3 (2/0), фиолетовый 70 см, игла колющая с уплощенным кончиком 22 мм, 1/2, №36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 ,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</w:t>
            </w:r>
            <w:r>
              <w:rPr>
                <w:rFonts w:ascii="Times New Roman" w:hAnsi="Times New Roman"/>
                <w:sz w:val="24"/>
                <w:szCs w:val="24"/>
              </w:rPr>
              <w:t>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 3  (2/0), длина нити не менее 70 см. Соединение нити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иглой прочное, диаметр иглы в зоне крепления не более 1,15 диаметра иглы в начале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(изгибу) , что предотвращает необходимост</w:t>
            </w:r>
            <w:r>
              <w:rPr>
                <w:rFonts w:ascii="Times New Roman" w:hAnsi="Times New Roman"/>
                <w:sz w:val="24"/>
                <w:szCs w:val="24"/>
              </w:rPr>
              <w:t>ь замены иглы. Игла имеет конструкцию, увеличивающую надежность ее фиксации в иглодержателе, колющая с уплощением кончика,  1/2 окружности, 21-22 мм. Индивидуальная стерильная упаковка из фольги, защищающая содержимое от влаги, одинарная, обеспечивающая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ступ к внутреннему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</w:t>
            </w:r>
            <w:r>
              <w:rPr>
                <w:rFonts w:ascii="Times New Roman" w:hAnsi="Times New Roman"/>
                <w:sz w:val="24"/>
                <w:szCs w:val="24"/>
              </w:rPr>
              <w:t>ую информацию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с даты из</w:t>
            </w:r>
            <w:r>
              <w:rPr>
                <w:rFonts w:ascii="Times New Roman" w:hAnsi="Times New Roman"/>
                <w:sz w:val="24"/>
                <w:szCs w:val="24"/>
              </w:rPr>
              <w:t>готовления.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PolarisUltra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6F, 26 см, длительной имплантации 12 месяцев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Стент мочеточниковый для обеспечения дренажа из почек в мочевой пузырь. Может быть установлен под эндоскопическим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флюороскопическимконтролем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время открытой хирургической операции. С целью снижения риска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постпроцедурных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осложнений, в том числе дизурии, должны быть предусмотрены как минимум следующие конструктивные особенности: материал стента должен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хождения в теле пациента не менее 365 дней; материал стента должен становиться мягче при нагревании до температуры тела пациента; сниженная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цитотоксичность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цитодиструкция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сравнению со стандартным модифицированным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полиуератном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повышенная дренирующая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пособность по сравнению со стандартным полиуретановым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покрытие стента гидрофильное, снижающее риск инкрустации и облегчающее установку; дистальный кончик стента конусообразный, для облегчения введения в мочеточник; материал стента со стороны мочев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пузыря должен быть мягче материала со стороны почки. Перфорации по всей длине стента, спирально расположенные. Диаметр стента 6F. Длина стента (между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пигтейлами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не менее 25,5 и не более 26,5 см. В комплекте нить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устройство для позицион</w:t>
            </w:r>
            <w:r>
              <w:rPr>
                <w:rFonts w:ascii="Times New Roman" w:hAnsi="Times New Roman"/>
                <w:sz w:val="24"/>
                <w:szCs w:val="24"/>
              </w:rPr>
              <w:t>ирования. Стерильный. Одноразовый.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двухходовый, 100% силикон, имплантация до 90 суток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18, двухходовый, изготовлен из прозрачного 100% силикона, Должен иметь закрытый дистальный конец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не менее двух боковых отверстий. Дистальный конец катетера должен быть обработан и закруглен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подходить к мочеприемникам любого типа. Тройная стерилизация катетера, длительность использования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дней.Длина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катетера 42 см, размер катетера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Игла пункционная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нефростомии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18 G, длина 20 см, сталь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Пункционная двухсоставная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рентген-узи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18 G, длина 20 см. Стерильная. Одноразовая.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6 боковых отверстий на петле, расположенных в шахматном порядке, торцевое отверстие,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имеющий двухслойную структуру - внутренний слой жесткий, для лучшего проведения по проводнику, наружный слой мягкий, для комфорта пациента, длитель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имплантации до 12 месяцев; металлический стилет, переходник для мочеприемника, длина 25 см, материал ПВХ;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J тип,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ЧПНС,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однопетлевой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35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14, 6 боковых отверстий на петле, расположенных в шахматном порядке, торцевое отверстие, градуировка на катетере по сантиметрам, материал термопластичный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Vortek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),имеющий двухслойную структуру - внутренний слой жесткий, для лучшего проведения по проводнику, наружный слой мягкий, для комфорта пациента,  длительность имплантации до 12 месяцев; металлический стилет, переходник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мочеприемника, длина 25 см, материал ПВХ;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Луэр-лок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запирательным механизмом.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Стерильный.Одноразовый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832F3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5D37" w:rsidRDefault="00385D37"/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закупок, тел. 220-16-04.</w:t>
            </w:r>
          </w:p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</w:t>
            </w:r>
            <w:r>
              <w:rPr>
                <w:rFonts w:ascii="Times New Roman" w:hAnsi="Times New Roman"/>
                <w:sz w:val="28"/>
                <w:szCs w:val="28"/>
              </w:rPr>
              <w:t>ел. 220-16-04.</w:t>
            </w:r>
          </w:p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3399" w:type="dxa"/>
            <w:shd w:val="clear" w:color="FFFFFF" w:fill="auto"/>
            <w:vAlign w:val="bottom"/>
          </w:tcPr>
          <w:p w:rsidR="00385D37" w:rsidRDefault="00385D37"/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/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3399" w:type="dxa"/>
            <w:shd w:val="clear" w:color="FFFFFF" w:fill="auto"/>
            <w:vAlign w:val="bottom"/>
          </w:tcPr>
          <w:p w:rsidR="00385D37" w:rsidRDefault="00385D37"/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/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3399" w:type="dxa"/>
            <w:shd w:val="clear" w:color="FFFFFF" w:fill="auto"/>
            <w:vAlign w:val="bottom"/>
          </w:tcPr>
          <w:p w:rsidR="00385D37" w:rsidRDefault="00385D37"/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/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И.О. Куликова</w:t>
            </w:r>
          </w:p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3399" w:type="dxa"/>
            <w:shd w:val="clear" w:color="FFFFFF" w:fill="auto"/>
            <w:vAlign w:val="bottom"/>
          </w:tcPr>
          <w:p w:rsidR="00385D37" w:rsidRDefault="00385D37"/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/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3399" w:type="dxa"/>
            <w:shd w:val="clear" w:color="FFFFFF" w:fill="auto"/>
            <w:vAlign w:val="bottom"/>
          </w:tcPr>
          <w:p w:rsidR="00385D37" w:rsidRDefault="00385D37"/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/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3399" w:type="dxa"/>
            <w:shd w:val="clear" w:color="FFFFFF" w:fill="auto"/>
            <w:vAlign w:val="bottom"/>
          </w:tcPr>
          <w:p w:rsidR="00385D37" w:rsidRDefault="00385D37"/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/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832F38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3399" w:type="dxa"/>
            <w:shd w:val="clear" w:color="FFFFFF" w:fill="auto"/>
            <w:vAlign w:val="bottom"/>
          </w:tcPr>
          <w:p w:rsidR="00385D37" w:rsidRDefault="00385D37"/>
        </w:tc>
        <w:tc>
          <w:tcPr>
            <w:tcW w:w="6024" w:type="dxa"/>
            <w:shd w:val="clear" w:color="FFFFFF" w:fill="auto"/>
            <w:vAlign w:val="bottom"/>
          </w:tcPr>
          <w:p w:rsidR="00385D37" w:rsidRDefault="00385D37"/>
        </w:tc>
        <w:tc>
          <w:tcPr>
            <w:tcW w:w="945" w:type="dxa"/>
            <w:shd w:val="clear" w:color="FFFFFF" w:fill="auto"/>
            <w:vAlign w:val="bottom"/>
          </w:tcPr>
          <w:p w:rsidR="00385D37" w:rsidRDefault="00385D37"/>
        </w:tc>
        <w:tc>
          <w:tcPr>
            <w:tcW w:w="1431" w:type="dxa"/>
            <w:shd w:val="clear" w:color="FFFFFF" w:fill="auto"/>
            <w:vAlign w:val="bottom"/>
          </w:tcPr>
          <w:p w:rsidR="00385D37" w:rsidRDefault="00385D37"/>
        </w:tc>
        <w:tc>
          <w:tcPr>
            <w:tcW w:w="1562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98" w:type="dxa"/>
            <w:shd w:val="clear" w:color="FFFFFF" w:fill="auto"/>
            <w:vAlign w:val="bottom"/>
          </w:tcPr>
          <w:p w:rsidR="00385D37" w:rsidRDefault="00385D37"/>
        </w:tc>
        <w:tc>
          <w:tcPr>
            <w:tcW w:w="1706" w:type="dxa"/>
            <w:shd w:val="clear" w:color="FFFFFF" w:fill="auto"/>
            <w:vAlign w:val="bottom"/>
          </w:tcPr>
          <w:p w:rsidR="00385D37" w:rsidRDefault="00385D37"/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385D37" w:rsidTr="00832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385D37" w:rsidRDefault="00832F38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832F38"/>
    <w:sectPr w:rsidR="00000000" w:rsidSect="00385D3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385D37"/>
    <w:rsid w:val="00385D37"/>
    <w:rsid w:val="0083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85D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2331</Words>
  <Characters>13291</Characters>
  <Application>Microsoft Office Word</Application>
  <DocSecurity>0</DocSecurity>
  <Lines>110</Lines>
  <Paragraphs>31</Paragraphs>
  <ScaleCrop>false</ScaleCrop>
  <Company>Reanimator Extreme Edition</Company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2017-11-02T09:31:00Z</dcterms:created>
  <dcterms:modified xsi:type="dcterms:W3CDTF">2017-11-02T09:32:00Z</dcterms:modified>
</cp:coreProperties>
</file>