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897"/>
        <w:gridCol w:w="4881"/>
        <w:gridCol w:w="773"/>
        <w:gridCol w:w="1143"/>
        <w:gridCol w:w="1304"/>
        <w:gridCol w:w="1756"/>
        <w:gridCol w:w="1588"/>
        <w:gridCol w:w="605"/>
      </w:tblGrid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615"/>
        </w:trPr>
        <w:tc>
          <w:tcPr>
            <w:tcW w:w="8536" w:type="dxa"/>
            <w:gridSpan w:val="3"/>
            <w:vMerge w:val="restart"/>
            <w:shd w:val="clear" w:color="FFFFFF" w:fill="auto"/>
            <w:vAlign w:val="bottom"/>
          </w:tcPr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E06FCE" w:rsidRP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6FCE">
              <w:rPr>
                <w:rFonts w:ascii="Times New Roman" w:hAnsi="Times New Roman"/>
                <w:sz w:val="24"/>
                <w:szCs w:val="24"/>
              </w:rPr>
              <w:t>-</w:t>
            </w:r>
            <w:r w:rsidRPr="00E06F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06F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06F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6FCE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E06F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6F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6F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№.684-2017</w:t>
            </w:r>
          </w:p>
          <w:p w:rsidR="00E06FCE" w:rsidRDefault="00E06FCE" w:rsidP="006E40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2447" w:type="dxa"/>
            <w:gridSpan w:val="2"/>
            <w:shd w:val="clear" w:color="FFFFFF" w:fill="auto"/>
            <w:vAlign w:val="bottom"/>
          </w:tcPr>
          <w:p w:rsidR="00E06FCE" w:rsidRDefault="00E06F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RP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Pr="00E06FCE" w:rsidRDefault="00E06FCE" w:rsidP="006E40C8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Pr="00E06FCE" w:rsidRDefault="00E06FCE">
            <w:pPr>
              <w:rPr>
                <w:lang w:val="en-US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E06FCE" w:rsidRPr="00E06FCE" w:rsidRDefault="00E06FCE">
            <w:pPr>
              <w:rPr>
                <w:lang w:val="en-US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E06FCE" w:rsidRPr="00E06FCE" w:rsidRDefault="00E06FCE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E06FCE" w:rsidRPr="00E06FCE" w:rsidRDefault="00E06FCE">
            <w:pPr>
              <w:rPr>
                <w:lang w:val="en-US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E06FCE" w:rsidRPr="00E06FCE" w:rsidRDefault="00E06FCE">
            <w:pPr>
              <w:rPr>
                <w:lang w:val="en-US"/>
              </w:rPr>
            </w:pPr>
          </w:p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 w:rsidP="006E40C8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E06FCE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8536" w:type="dxa"/>
            <w:gridSpan w:val="3"/>
            <w:vMerge/>
            <w:shd w:val="clear" w:color="FFFFFF" w:fill="auto"/>
            <w:vAlign w:val="bottom"/>
          </w:tcPr>
          <w:p w:rsidR="00E06FCE" w:rsidRDefault="00E06FCE">
            <w:pPr>
              <w:jc w:val="center"/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143" w:type="dxa"/>
            <w:shd w:val="clear" w:color="FFFFFF" w:fill="auto"/>
            <w:vAlign w:val="bottom"/>
          </w:tcPr>
          <w:p w:rsidR="00E06FCE" w:rsidRDefault="00E06FCE"/>
        </w:tc>
        <w:tc>
          <w:tcPr>
            <w:tcW w:w="1304" w:type="dxa"/>
            <w:shd w:val="clear" w:color="FFFFFF" w:fill="auto"/>
            <w:vAlign w:val="bottom"/>
          </w:tcPr>
          <w:p w:rsidR="00E06FCE" w:rsidRDefault="00E06FCE"/>
        </w:tc>
        <w:tc>
          <w:tcPr>
            <w:tcW w:w="1756" w:type="dxa"/>
            <w:shd w:val="clear" w:color="FFFFFF" w:fill="auto"/>
            <w:vAlign w:val="bottom"/>
          </w:tcPr>
          <w:p w:rsidR="00E06FCE" w:rsidRDefault="00E06FCE"/>
        </w:tc>
        <w:tc>
          <w:tcPr>
            <w:tcW w:w="1588" w:type="dxa"/>
            <w:shd w:val="clear" w:color="FFFFFF" w:fill="auto"/>
            <w:vAlign w:val="bottom"/>
          </w:tcPr>
          <w:p w:rsidR="00E06FCE" w:rsidRDefault="00E06FCE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1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75"/>
        </w:trPr>
        <w:tc>
          <w:tcPr>
            <w:tcW w:w="11756" w:type="dxa"/>
            <w:gridSpan w:val="6"/>
            <w:shd w:val="clear" w:color="FFFFFF" w:fill="auto"/>
            <w:vAlign w:val="bottom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75"/>
        </w:trPr>
        <w:tc>
          <w:tcPr>
            <w:tcW w:w="11756" w:type="dxa"/>
            <w:gridSpan w:val="6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6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57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Вертлужный компонент - чашка должна изготавливаться из сплава Ti-6Al-4V (ISO 5832-3..1996), должна  иметь покрытие из тантала, способствующее достижению высокой первичной стабильности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случаях, толщиной от 2.7 до 4.6 мм. Танталово</w:t>
            </w:r>
            <w:r>
              <w:rPr>
                <w:rFonts w:ascii="Times New Roman" w:hAnsi="Times New Roman"/>
                <w:sz w:val="24"/>
                <w:szCs w:val="24"/>
              </w:rPr>
              <w:t>е покрытие должно иметь объёмную пористость не менее 70%, с размером пор 550</w:t>
            </w:r>
            <w:r>
              <w:rPr>
                <w:rFonts w:ascii="Times New Roman" w:hAnsi="Times New Roman"/>
                <w:sz w:val="24"/>
                <w:szCs w:val="24"/>
              </w:rPr>
              <w:t>m. Количество отверстий для фиксации винтами не менее трёх, с равномерным или кластерным расположением, в дне чашки должно быть расположено сквозное отверстие с резьбой для фиксац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Спектр размеров чашек (внешний диаметр)– с 48мм до 68мм. Запорный механизм чашки должен быть конусовидным и  выполнен с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выемками для вкладыша по внутренней поверхности края. Конструкция чашки  должна позволять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вкладышей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сверхмодульного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кобальтхромового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и циркониевой керамики под головки диаметром 28-40мм.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0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Longevity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Выполнен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UHMWPE, обладает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(обработан радиацией в дозе 3 мрад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 имеет централизующий пост, а также поставляется 2-х видов: с 0° и 10°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Запорный механизм вкладыша  конусовидный и обладает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выступами по внешней поверхности края</w:t>
            </w:r>
            <w:r>
              <w:rPr>
                <w:rFonts w:ascii="Times New Roman" w:hAnsi="Times New Roman"/>
                <w:sz w:val="24"/>
                <w:szCs w:val="24"/>
              </w:rPr>
              <w:t>. Размер вкладыша  соответствует размеру вертлужного компонента. Метод стерилизации – гамма-облучение в инертном газе.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48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Кольцо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Мюллер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Антипротрузионный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для укрепления вертлужной впадины  должен быть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титанового  сплава титан-алюминий-ниобий, соответствующего международному стандарту  ISO-5832-2, должен быть выполнен в форме кольца, с двумя расширяющимися в разные стороны фланцами длиной не менее 33 мм и не более 38 мм, имеющими отверстия для винтов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редназначенными для фиксации компонента. Количество отверстий не менее 8.  Для установки компонента должно использоваться 5-7 винтов. Компоненты должны бать анатомическими, правыми и левыми,  и иметь не менее 8 типоразмеров: не менее 4 правых и не менее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левых. 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Фиксация полиэтиленовой чашки  - цементная.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48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>Кольцо вертлужной впадины укрепляющее, БШ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-Шнайдера)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Антипротрузионный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для укрепления вертлужной впадины  </w:t>
            </w:r>
            <w:r>
              <w:rPr>
                <w:rFonts w:ascii="Times New Roman" w:hAnsi="Times New Roman"/>
                <w:sz w:val="24"/>
                <w:szCs w:val="24"/>
              </w:rPr>
              <w:t>должен быть изготовлен из титанового  сплава титан-алюминий-ниобий, соответствующего международному стандарту  ISO-5832-2, должен быть выполнен в форме кольца, с двумя расширяющимися в разные стороны фланцами длиной не менее 33 мм и не более 38 мм, имеющим</w:t>
            </w:r>
            <w:r>
              <w:rPr>
                <w:rFonts w:ascii="Times New Roman" w:hAnsi="Times New Roman"/>
                <w:sz w:val="24"/>
                <w:szCs w:val="24"/>
              </w:rPr>
              <w:t>и отверстия для винтов и предназначенными для фиксации компонента. Количество отверстий не менее 8.  Для установки компонента должно использоваться 5-7 винтов. Компоненты должны бать анатомическими, правыми и левыми,  и иметь не менее 8 типоразмеров: не ме</w:t>
            </w:r>
            <w:r>
              <w:rPr>
                <w:rFonts w:ascii="Times New Roman" w:hAnsi="Times New Roman"/>
                <w:sz w:val="24"/>
                <w:szCs w:val="24"/>
              </w:rPr>
              <w:t>нее 4 правых и не менее 4  левых. 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Фиксация полиэтиленовой чашки  - цементная.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75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>Аппарат для санации раневой поверхности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PulsavacPlus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</w:t>
            </w:r>
            <w:r>
              <w:rPr>
                <w:rFonts w:ascii="Times New Roman" w:hAnsi="Times New Roman"/>
                <w:sz w:val="24"/>
                <w:szCs w:val="24"/>
              </w:rPr>
              <w:t>одновременно с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Подаваемое давление жидкости1,2 до 29 PSI (фунт </w:t>
            </w:r>
            <w:r>
              <w:rPr>
                <w:rFonts w:ascii="Times New Roman" w:hAnsi="Times New Roman"/>
                <w:sz w:val="24"/>
                <w:szCs w:val="24"/>
              </w:rPr>
              <w:t>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распыления жидкости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</w:t>
            </w:r>
            <w:r>
              <w:rPr>
                <w:rFonts w:ascii="Times New Roman" w:hAnsi="Times New Roman"/>
                <w:sz w:val="24"/>
                <w:szCs w:val="24"/>
              </w:rPr>
              <w:t>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126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бедренная УС 5.0, длина 354 мм, 16 отверстий, левая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остеосинтеза переломов проксимального отдела бедренной кости и  их сочетание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переломами бедренной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Описание: Пластина дистальная бедренная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изготовлена из титанового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по ASTM F136, должна быть шириной 18мм и толщиной 6мм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и плавно уменьшающийся до 3мм в проксимальной части. По всему периметру края пластины скруглены по R1,5мм. Пластины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форме латеральной поверхности мыщелка бедренной кости, иметь изгиб R1500 в сагиттальной плоскости,  соответствующий анатомической форме бедренной кости и облегчающий установку пластины, и быть левого и правого исполнения. Плас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тины должны иметь 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 (общая длина в мм/количество отверстий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части): 156/5; 174/6; 210/8; 246/10; 282/12; 318/14; 354/16; 372/18. Расстояние между отверстиями 18мм. Отверстия должны иметь восьмиобразную форму и распол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агаться в шахматном порядке. В одном кольце должна быть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коническая резьба под винты Ø5,0мм с УС, в другом кольце должно быть компрессионное отверстие под кортикальные винты Ø4,5мм, позволяющее винту иметь отклонение влево и вправо до 15˚. Нижн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яя часть пазов под кортикальные винты должна иметь "юбку", позволяющую вводить винты с отклонением до 30˚. Внутренняя сторона пластины с ограниченным контактом для меньшей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кости. Углубления минимального контакта расположены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отверстиями друг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напротив друга с шагом не более 18мм, и образованы цилиндрической поверхностью Ø15мм под углом 15˚ кнаружи.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край пластины должны иметь 3-х стороннее коническое сужение для удобства введения. Проксимальная часть пластины долж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быть шириной не более  40мм и иметь 6 круглых отверстий конической формы с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 под винты Ø5мм с УС. Центральное отверстие должно позволять установку комплекта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мыщелкового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винта. Пластины должны иметь цветовую кодировку серо</w:t>
            </w:r>
            <w:r>
              <w:rPr>
                <w:rFonts w:ascii="Times New Roman" w:hAnsi="Times New Roman"/>
                <w:sz w:val="24"/>
                <w:szCs w:val="24"/>
              </w:rPr>
              <w:t>го цвета, индивидуальную маркировку и упаковку.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126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бедренная УС 5.0, длина 354 мм, 16 отверстий, правая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остеосинтеза переломов проксимального отдела бедренной кости и  их сочетание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переломами </w:t>
            </w:r>
            <w:r>
              <w:rPr>
                <w:rFonts w:ascii="Times New Roman" w:hAnsi="Times New Roman"/>
                <w:sz w:val="24"/>
                <w:szCs w:val="24"/>
              </w:rPr>
              <w:t>бедренной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Описание: Пластина дистальная бедренная должна быть изготовлена из титанового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по ASTM F136, должна быть шириной 18мм и толщиной 6мм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и плавно уменьшающийся до 3мм в проксимальной части. По всему периметру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пластины скруглены по R1,5мм. Пластины должны быть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форме латеральной поверхности мыщелка бедренной кости, иметь изгиб R1500 в сагиттальной плоскости,  соответствующий анатомической форме бедренной кости и облегчающий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новку пластины, и быть левого и правого исполнения. Пластины должны иметь 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 (общая длина в мм/количество отверстий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части): 156/5; 174/6; 210/8; 246/10; 282/12; 318/14; 354/16; 372/18. Расстояние между отверстиями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Отверстия должны иметь восьмиобразную форму и располагаться в шахматном порядке. В одном кольце должна быть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коническая резьба под винты Ø5,0мм с УС, в другом кольце должно быть компрессионное отверстие под кортикальные винты Ø4,5мм, позвол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яющее винту иметь отклонение влево и вправо до 15˚. Нижняя часть пазов под кортикальные винты должна иметь "юбку", позволяющую вводить винты с отклонением до 30˚. Внутренняя сторона пластины с ограниченным контактом для меньшей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кости. Углубления минимального контакта расположены между отверстиями друг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напротив друга с шагом не более 18мм, и образованы цилиндрической поверхностью Ø15мм под углом 15˚ кнаружи.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край пластины должны иметь 3-х стороннее коническое сужение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удобства введения. Проксимальная часть пластины должна быть шириной не более  40мм и иметь 6 круглых отверстий конической формы с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 под винты Ø5мм с УС. Центральное отверстие должно позволять установку комплекта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мыщелкового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</w:t>
            </w:r>
            <w:r>
              <w:rPr>
                <w:rFonts w:ascii="Times New Roman" w:hAnsi="Times New Roman"/>
                <w:sz w:val="24"/>
                <w:szCs w:val="24"/>
              </w:rPr>
              <w:t>его винта. Пластины должны иметь цветовую кодировку серого цвета, индивидуальную маркировку и упаковку.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15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Кейбл-реди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1.8 х 560 х 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Проволока для соединения костных отломков путем проведения шовного материала вокруг кости должен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представлять собой витой трос диаметром 1.8мм и  длиной 560мм. Материал нержавеющая сталь с механизмом для фиксации на концах.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9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Pr="009376D8" w:rsidRDefault="009376D8"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  <w:r w:rsidRPr="00937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FCE">
              <w:rPr>
                <w:rFonts w:ascii="Times New Roman" w:hAnsi="Times New Roman"/>
                <w:sz w:val="24"/>
                <w:szCs w:val="24"/>
                <w:lang w:val="en-US"/>
              </w:rPr>
              <w:t>Antibiotic</w:t>
            </w:r>
            <w:r w:rsidRPr="00937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FCE">
              <w:rPr>
                <w:rFonts w:ascii="Times New Roman" w:hAnsi="Times New Roman"/>
                <w:sz w:val="24"/>
                <w:szCs w:val="24"/>
                <w:lang w:val="en-US"/>
              </w:rPr>
              <w:t>Simplex</w:t>
            </w:r>
            <w:r w:rsidRPr="009376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06FC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37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тобрамицином</w:t>
            </w:r>
            <w:proofErr w:type="spellEnd"/>
            <w:r w:rsidRPr="009376D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поставляется стерильными упаковками  по 41 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порошкообразного полимера и контейнером с 20 граммами жидкого мономера.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бария обеспечивающий рентген контрастность и антибиотик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Торбамицин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 смешивании должна  образовываться смесь содержащая 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-стерин сополимер  30грам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6грамм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Бария сульфат                                                4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Торбамицин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                                  1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Также в состав цемента должен включать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Гидрохлорон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</w:t>
            </w:r>
            <w:r>
              <w:rPr>
                <w:rFonts w:ascii="Times New Roman" w:hAnsi="Times New Roman"/>
                <w:sz w:val="24"/>
                <w:szCs w:val="24"/>
              </w:rPr>
              <w:t>ния преждевременной спонтанной полимеризации 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60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Чашка низкопрофильная Мюллер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для вертлужной впадины при первичном или ревизионном протезировании. Общие требования: • Цементная чашка  показана для цементного протезирования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вертлужной впадины. • Геометрия чашки  позволяет использовать ее как самостоятельно, так и в паре с укрепляющим компонентом вертлужной впадины. Чашка  производится в низкопрофильной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низкопрофильные чашки  совмес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тимы с модульными головками диаметром 28 и 32 мм. Чашка  имеет  циркулярные цементные "карманы". Чашка несет на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Количество типоразмеров 12 для низкопрофильных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Чашка  изготавливается из полиэтилена с ультравысоким молекулярным весом методом вытачивания с воздушным охлаждением, в соответствии с международным стандартом ISO 5834-1 + 2.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последних размера не имеют «юбки».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9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PROTASUL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>Изготовлена из кованной нержавеющей стали и имеет  2 типоразмера по диаметру: 28 и 32 мм и  3 типоразмера по длине шейки для изменения офсета.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9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Головка бедренная металлическая 12/14 конус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диаметром 28, 32 и 36  мм, имеется 5 типоразмеров по длине для изменения офсета, конус шейки - 12/14.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57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Ножка Вагнера ревизионная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Ревизионный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в случаях интенсивной резорбции кости, когда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цементная фиксация затруднена или невозможна при тонком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 так же для ревизионных случаев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оскольчатых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верхней трети бедренной кости и корригирующих остеотомий. Бедренный ревизионный компонент, изготовленный методом изотермической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ковки, из титанового сплава не содержащий аллергенного ванадия, соответствующий международному стандарту  ISO-582-11. Компонент должен иметь не менее 33 типоразмеров меняющихся по длине  (225-305мм) и диаметром (14-25мм),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135° .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нструктивно ножка должна иметь конусовидную форму с углом конуса 2 градуса и заостренными ребрами, улучшающими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и увеличивающими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54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Аллоклассик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• Бедренный компонент должен быть изготовлен методом изотермической ковки, из титанового сплава, не содержащего аллергенного ванадия, должен соответствовать международному стандарту ISO-5832-2. Компонент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трехмерную клиновидной формы конфигурацию, с острыми гранями в проксимальной и дистальной части имплантата, должен быть самоцентрирующимся с  шероховатой поверхностью, конусом 12/14 мм. Компонент должен иметь не менее 14 типоразмеров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глом 131°. В проксимальной части имплантата в латеральной зоне должно иметься не менее четырех рядных отверстий. С увеличением типоразмера должна возрастать длина шейки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Фиксация: первичная - «вклинивание» конуса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медуллярный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 бедренной кости с опорой граней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проксимальной части бедренной кости. Вторичная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6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Ножка ревизионная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BiContact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48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ЛССК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цементной фиксации, изготовленный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Co-Cr-Mo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(ISO 5932-6..1996). Компоненты должны быть двух типов - правые и левые. Компоненты должны иметь ограничитель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их у больных с отсутствием крестообразных связок и боковой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нестабильностью, медиально-латеральные размеры 60-76,5мм,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-задние размеры 53,5-70,5мм. Должен применяться для 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коленного сустава. Количество типоразмеров - не менее 5-ти стандартных. Покрытие внутреннее - тонкий слой костного ц</w:t>
            </w:r>
            <w:r>
              <w:rPr>
                <w:rFonts w:ascii="Times New Roman" w:hAnsi="Times New Roman"/>
                <w:sz w:val="24"/>
                <w:szCs w:val="24"/>
              </w:rPr>
              <w:t>емента PMMA.  Каждому типоразмеру бедренного компонента по ширине должно соответствовать не менее 2 типов полиэтиленовых прокладок. Возможность фиксации удлинительных ножек.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66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модульный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(для левой и правой голени), модульный с возможностью сохранения/замещения задней крестообразной связки.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Имплантируемая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сть имеет тонкий слой костного цемента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 удлинительными штифтами длиной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различной </w:t>
            </w:r>
            <w:r>
              <w:rPr>
                <w:rFonts w:ascii="Times New Roman" w:hAnsi="Times New Roman"/>
                <w:sz w:val="24"/>
                <w:szCs w:val="24"/>
              </w:rPr>
              <w:t>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запорного механизма для полиэтиленовой прокладки - защелкивающийся. 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соответствует  2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Размеры: размерный  ряд составляет 10 </w:t>
            </w:r>
            <w:r>
              <w:rPr>
                <w:rFonts w:ascii="Times New Roman" w:hAnsi="Times New Roman"/>
                <w:sz w:val="24"/>
                <w:szCs w:val="24"/>
              </w:rPr>
              <w:t>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 возможностью поставки 2-х – микро (1, 2) и  2-х макро (9, 10).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48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ЛССК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Вкладыш   коленного сустава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сoхранения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Задней Крестообразной Связки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Полиэтиленовая прокладка из высокомолекулярного полиэтилена UHMWPE (ISO 5834-2..1998) жесткой фиксации методом защелкивания  и фиксации винтом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компоненте: не менее 3-х типоразмеров по ширине и  типоразмеров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высоте 10,12,14,17,20,23мм. Прокладка должна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удлиненнный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большеберцовый клык, способствующий тесному совмещению его с межмыщелковой вырезкой  для обеспечения стабильности у пациентов с функциональной недостаточностью связок, отверстие для винта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фиксации её на большеберцовом плато.  Должна иметься  возможность замены полиэтиленовой прокладки без удаления бедренного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0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Ножка-удлинитель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прямая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Наличие прямых и офсетных удлинительных штифтов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длиной от 100 до 200 мм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бедренного компонентов. Размерность: должно быть предусмотрено  не менее 12 типоразмеров прямых стержней диаметром 10-20 мм с шагом в 1мм и не менее 8 типоразмер</w:t>
            </w:r>
            <w:r>
              <w:rPr>
                <w:rFonts w:ascii="Times New Roman" w:hAnsi="Times New Roman"/>
                <w:sz w:val="24"/>
                <w:szCs w:val="24"/>
              </w:rPr>
              <w:t>ов офсетных стержней диаметром 11-18мм . Материал титановый сплав. Механизм фиксации- клин в сочетании с зажимными винтами, входящими в комплект поставки.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7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 должны выпускаться  не менее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типоразмеров по толщине:  5 до 10 мм для замещения костного дефекта большеберцовой. Материал титановый сплав. Блок должен иметь покрытие из полиметилметакрилата PMMA для улучшенной фиксации костным цементом. Механизм фиксации  блока на большеберцовом плат</w:t>
            </w:r>
            <w:r>
              <w:rPr>
                <w:rFonts w:ascii="Times New Roman" w:hAnsi="Times New Roman"/>
                <w:sz w:val="24"/>
                <w:szCs w:val="24"/>
              </w:rPr>
              <w:t>о  должен осуществляться  при помощи  фиксирующего винта, входящего в комплект поставки, или цементом.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42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RHK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 металлический для цементной фиксации изготовленный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Co-Cr-Mo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5932-6..1996). Компоненты должны быть двух типов - правые и левые. Компоненты должны иметь ограничитель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их у больных с отсутствием крестообразных связок и боковой нестабильностью. Применяется для 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сустава.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-размеров - не менее 5-ти. Покрытие внутреннее - тонкий слой костного цемента PMMA. Жесткая фиксация бедренного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между собой посредством центрального штифта-сцепки и центрально-расположенного шарнирного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еханизма.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удлинительной ножки.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1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RHК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металлический на ножке для цементной фиксации изготовленный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Co-Cr-Mo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(ISO 5932-6..1996). Количество типоразмеров -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6-ти. Покрытие ножки и тыльной поверхности  - тонкий слой костного цемента PMMA. Сторона, обращенная к вкладышу - полированная. Тип фиксации полиэтиленовой прокладки - подвижный.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48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RHK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Вкладыш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коленного сустава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сoхранения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Задней Крестообразной Связки для ревизионного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Полиэтиленовая прокладка из высокомолекулярного полиэтилена UHMWPE (ISO 5834-2..1998) жесткой фиксации методом защелкивания  и фиксации винтом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компоненте: не менее 3-х типоразмеров по ширине и  типоразмеров по высоте 10,12,14,17,20,23мм. Прокладка должна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удлиненнный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большеберцовый клык, способствующий тесному совмещению его с межмыщелковой вырезкой  для обеспечения стабильности у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функциональной недостаточностью связок, отверстие для винта для фиксации её на большеберцовом плато.  Должна иметься  возможность замены полиэтиленовой прокладки без удаления бедренного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6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Конус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Должен представлять собой аугмент в виде усеченного конуса с полостью для фиксации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коленного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Должен быть выполнен из пористого тантала с объёмной пористостью не менее 70%, с размером пор 550μm, простран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структурой сходной по конфигурации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трабекулярной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костью, компрессионная стойкость 50-80, модуль упругости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применяться для восполнения значительных дефектов большеберцовой кости,  крепиться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</w:t>
            </w:r>
            <w:r>
              <w:rPr>
                <w:rFonts w:ascii="Times New Roman" w:hAnsi="Times New Roman"/>
                <w:sz w:val="24"/>
                <w:szCs w:val="24"/>
              </w:rPr>
              <w:t>ы выпускаются в 10 типоразмерах. Должен  поставляться стерильным в стерильной упаковке.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0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Аугмент бедренный дистальный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>Бедренный блоки должны выпускаться  не менее двух типоразмеров по толщине:  5 до 10 мм и нескольких типов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– дистальные. передние, задние (для замещения костного дефекта бедренной кости). Материал титановый сплав. Блок должен иметь покрытие из полиметилметакрилата PMMA для улучшенной фиксации костным цементом. Механизм фиксации  блока на большеберцовом п</w:t>
            </w:r>
            <w:r>
              <w:rPr>
                <w:rFonts w:ascii="Times New Roman" w:hAnsi="Times New Roman"/>
                <w:sz w:val="24"/>
                <w:szCs w:val="24"/>
              </w:rPr>
              <w:t>лато  должен осуществляться  при помощи  фиксирующего винта, входящего в комплект поставки, или цементом.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015"/>
        </w:trPr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 xml:space="preserve">Аугмент бедренный задний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r>
              <w:rPr>
                <w:rFonts w:ascii="Times New Roman" w:hAnsi="Times New Roman"/>
                <w:sz w:val="24"/>
                <w:szCs w:val="24"/>
              </w:rPr>
              <w:t>Бедренный блоки должны выпускаться  не менее двух типоразмеров по толщине:  5 до 10 мм и нескольких 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 – дистальные. передние, задние (для замещения костного дефекта бедренной кости). Материал титановый сплав. Блок должен иметь покрытие из полиметилметакрилата PMMA для улучшенной фиксации костным цементом. Механизм фиксации  блока на большеберцово</w:t>
            </w:r>
            <w:r>
              <w:rPr>
                <w:rFonts w:ascii="Times New Roman" w:hAnsi="Times New Roman"/>
                <w:sz w:val="24"/>
                <w:szCs w:val="24"/>
              </w:rPr>
              <w:t>м плато  должен осуществляться  при помощи  фиксирующего винта, входящего в комплект поставки, или цементом.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9376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  <w:tc>
          <w:tcPr>
            <w:tcW w:w="15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705"/>
        </w:trPr>
        <w:tc>
          <w:tcPr>
            <w:tcW w:w="11756" w:type="dxa"/>
            <w:gridSpan w:val="6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75"/>
        </w:trPr>
        <w:tc>
          <w:tcPr>
            <w:tcW w:w="11756" w:type="dxa"/>
            <w:gridSpan w:val="6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55"/>
        </w:trPr>
        <w:tc>
          <w:tcPr>
            <w:tcW w:w="15100" w:type="dxa"/>
            <w:gridSpan w:val="8"/>
            <w:vMerge w:val="restart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</w:t>
            </w:r>
            <w:r>
              <w:rPr>
                <w:rFonts w:ascii="Times New Roman" w:hAnsi="Times New Roman"/>
                <w:sz w:val="28"/>
                <w:szCs w:val="28"/>
              </w:rPr>
              <w:t>ия государственных закупок, тел. 220-16-04.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350"/>
        </w:trPr>
        <w:tc>
          <w:tcPr>
            <w:tcW w:w="15100" w:type="dxa"/>
            <w:gridSpan w:val="8"/>
            <w:vMerge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220-16-04.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2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2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2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контрактной службы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И.О. Куликова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2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2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2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5" w:type="dxa"/>
          <w:trHeight w:val="225"/>
        </w:trPr>
        <w:tc>
          <w:tcPr>
            <w:tcW w:w="758" w:type="dxa"/>
            <w:shd w:val="clear" w:color="FFFFFF" w:fill="auto"/>
            <w:vAlign w:val="bottom"/>
          </w:tcPr>
          <w:p w:rsidR="00C27365" w:rsidRDefault="00C27365"/>
        </w:tc>
        <w:tc>
          <w:tcPr>
            <w:tcW w:w="2897" w:type="dxa"/>
            <w:shd w:val="clear" w:color="FFFFFF" w:fill="auto"/>
            <w:vAlign w:val="bottom"/>
          </w:tcPr>
          <w:p w:rsidR="00C27365" w:rsidRDefault="00C27365"/>
        </w:tc>
        <w:tc>
          <w:tcPr>
            <w:tcW w:w="4881" w:type="dxa"/>
            <w:shd w:val="clear" w:color="FFFFFF" w:fill="auto"/>
            <w:vAlign w:val="bottom"/>
          </w:tcPr>
          <w:p w:rsidR="00C27365" w:rsidRDefault="00C27365"/>
        </w:tc>
        <w:tc>
          <w:tcPr>
            <w:tcW w:w="77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143" w:type="dxa"/>
            <w:shd w:val="clear" w:color="FFFFFF" w:fill="auto"/>
            <w:vAlign w:val="bottom"/>
          </w:tcPr>
          <w:p w:rsidR="00C27365" w:rsidRDefault="00C27365"/>
        </w:tc>
        <w:tc>
          <w:tcPr>
            <w:tcW w:w="1304" w:type="dxa"/>
            <w:shd w:val="clear" w:color="FFFFFF" w:fill="auto"/>
            <w:vAlign w:val="bottom"/>
          </w:tcPr>
          <w:p w:rsidR="00C27365" w:rsidRDefault="00C27365"/>
        </w:tc>
        <w:tc>
          <w:tcPr>
            <w:tcW w:w="1756" w:type="dxa"/>
            <w:shd w:val="clear" w:color="FFFFFF" w:fill="auto"/>
            <w:vAlign w:val="bottom"/>
          </w:tcPr>
          <w:p w:rsidR="00C27365" w:rsidRDefault="00C27365"/>
        </w:tc>
        <w:tc>
          <w:tcPr>
            <w:tcW w:w="1588" w:type="dxa"/>
            <w:shd w:val="clear" w:color="FFFFFF" w:fill="auto"/>
            <w:vAlign w:val="bottom"/>
          </w:tcPr>
          <w:p w:rsidR="00C27365" w:rsidRDefault="00C27365"/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C27365" w:rsidTr="00E0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C27365" w:rsidRDefault="009376D8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9376D8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365"/>
    <w:rsid w:val="009376D8"/>
    <w:rsid w:val="00C27365"/>
    <w:rsid w:val="00E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D179F-A497-493E-A296-2A52A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3195</Words>
  <Characters>18216</Characters>
  <Application>Microsoft Office Word</Application>
  <DocSecurity>0</DocSecurity>
  <Lines>151</Lines>
  <Paragraphs>42</Paragraphs>
  <ScaleCrop>false</ScaleCrop>
  <Company/>
  <LinksUpToDate>false</LinksUpToDate>
  <CharactersWithSpaces>21369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2017-11-02T09:32:00Z</dcterms:created>
  <dcterms:modified xsi:type="dcterms:W3CDTF">2017-11-02T09:34:00Z</dcterms:modified>
</cp:coreProperties>
</file>