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917"/>
        <w:gridCol w:w="4906"/>
        <w:gridCol w:w="818"/>
        <w:gridCol w:w="1129"/>
        <w:gridCol w:w="1291"/>
        <w:gridCol w:w="1754"/>
        <w:gridCol w:w="1582"/>
        <w:gridCol w:w="587"/>
      </w:tblGrid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615"/>
        </w:trPr>
        <w:tc>
          <w:tcPr>
            <w:tcW w:w="8544" w:type="dxa"/>
            <w:gridSpan w:val="3"/>
            <w:vMerge w:val="restart"/>
            <w:shd w:val="clear" w:color="FFFFFF" w:fill="auto"/>
            <w:vAlign w:val="bottom"/>
          </w:tcPr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9873D8" w:rsidRP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3D8">
              <w:rPr>
                <w:rFonts w:ascii="Times New Roman" w:hAnsi="Times New Roman"/>
                <w:sz w:val="24"/>
                <w:szCs w:val="24"/>
              </w:rPr>
              <w:t>-</w:t>
            </w:r>
            <w:r w:rsidRPr="009873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873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873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73D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9873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73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73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 2017 г. №.660-2017</w:t>
            </w:r>
          </w:p>
          <w:p w:rsidR="009873D8" w:rsidRDefault="009873D8" w:rsidP="00F22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2420" w:type="dxa"/>
            <w:gridSpan w:val="2"/>
            <w:shd w:val="clear" w:color="FFFFFF" w:fill="auto"/>
            <w:vAlign w:val="bottom"/>
          </w:tcPr>
          <w:p w:rsidR="009873D8" w:rsidRDefault="009873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RP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P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P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P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P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P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P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 w:rsidP="00F2250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873D8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8544" w:type="dxa"/>
            <w:gridSpan w:val="3"/>
            <w:vMerge/>
            <w:shd w:val="clear" w:color="FFFFFF" w:fill="auto"/>
            <w:vAlign w:val="bottom"/>
          </w:tcPr>
          <w:p w:rsidR="009873D8" w:rsidRDefault="009873D8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9873D8" w:rsidRDefault="009873D8"/>
        </w:tc>
        <w:tc>
          <w:tcPr>
            <w:tcW w:w="1129" w:type="dxa"/>
            <w:shd w:val="clear" w:color="FFFFFF" w:fill="auto"/>
            <w:vAlign w:val="bottom"/>
          </w:tcPr>
          <w:p w:rsidR="009873D8" w:rsidRDefault="009873D8"/>
        </w:tc>
        <w:tc>
          <w:tcPr>
            <w:tcW w:w="1291" w:type="dxa"/>
            <w:shd w:val="clear" w:color="FFFFFF" w:fill="auto"/>
            <w:vAlign w:val="bottom"/>
          </w:tcPr>
          <w:p w:rsidR="009873D8" w:rsidRDefault="009873D8"/>
        </w:tc>
        <w:tc>
          <w:tcPr>
            <w:tcW w:w="1754" w:type="dxa"/>
            <w:shd w:val="clear" w:color="FFFFFF" w:fill="auto"/>
            <w:vAlign w:val="bottom"/>
          </w:tcPr>
          <w:p w:rsidR="009873D8" w:rsidRDefault="009873D8"/>
        </w:tc>
        <w:tc>
          <w:tcPr>
            <w:tcW w:w="1582" w:type="dxa"/>
            <w:shd w:val="clear" w:color="FFFFFF" w:fill="auto"/>
            <w:vAlign w:val="bottom"/>
          </w:tcPr>
          <w:p w:rsidR="009873D8" w:rsidRDefault="009873D8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1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7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7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6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51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Стержень раздвижной ADD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12 мм, высота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 мм, 0 градусов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доступа. д</w:t>
            </w:r>
            <w:r>
              <w:rPr>
                <w:rFonts w:ascii="Times New Roman" w:hAnsi="Times New Roman"/>
                <w:sz w:val="24"/>
                <w:szCs w:val="24"/>
              </w:rPr>
              <w:t>иаметр 12 мм, высота 13-18 мм, 0 градусов.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51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Стержень раздвижной, диаметр 12 мм, высота 17 - 26 мм, 6 градусов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расширение происходит  по типу «домкрата»; Фиксируется к соседним позвонкам  4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фиксации пластин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17-26 мм, 6 градусов.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51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Стержень раздвижной, диаметр 12 мм, высота 25 - 41 мм, 12 градусов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 стабилизации;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мм, высота 25 - 41 мм, 12 градусов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153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Устройство PCD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G, диаметр 3,05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PCD (11 G) (диаметр 3,05 мм)(в комплект входит 1 система смешивания/введения цемента, 1 блок головки миксера, 1 картридж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введения, 1 удлиняющая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11 G и Стилет, 1 вакуумный шланг, 1 воронка) (1 система из упаковки).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рокачественные опухоли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метастатическое поражений 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переломов тел позвонков на фоне остеопороза, сопровождающиеся болевым синдромом, а также таких редких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заболеваниях как болезнь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Медицинская нержавеющая сталь (рабочие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Пластмасса (рукоятки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смешивания и введения цемента).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систему смешивания/введения цемента;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блок головки миксера;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• картридж введения;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удлиняющую трубку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4-хгранный и стилет – диаметром  11G (3, 05 мм), длиной – не менее 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- диаметром 11G (3, 05 мм), длиной –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вакуумный шланг;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воронку.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Миксер </w:t>
            </w:r>
            <w:r>
              <w:rPr>
                <w:rFonts w:ascii="Times New Roman" w:hAnsi="Times New Roman"/>
                <w:sz w:val="24"/>
                <w:szCs w:val="24"/>
              </w:rPr>
              <w:t>и шприц.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 герметичность системы и встроенный угольный фильтр  (отсутствие запаха).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Точность дозированного введения готового цемента обязательно - 0,2 см³ за половину оборота базы картриджа.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Радиационная безопасность для врача при работе - </w:t>
            </w:r>
            <w:r>
              <w:rPr>
                <w:rFonts w:ascii="Times New Roman" w:hAnsi="Times New Roman"/>
                <w:sz w:val="24"/>
                <w:szCs w:val="24"/>
              </w:rPr>
              <w:t>за счет общей длины картриджа и удлиняющей трубки -  длина 43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 введения маркирован от 0 до 12  см³, прозрачный  -  визуализация количества  введенного цемента.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Поставляется в стерильном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Необходимость совмещения расходного материала с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определенным оборудованием: ЭОП.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15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активного дренирования ран 250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низковакуумного дренирования ран. Емкость гофрированная тип "гармошка" емкостью 250 мл, градуированная для определения объема отделяемого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содержимого. Цена деления 50 мл. Изготовлена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нетоксичного ПВХ.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00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(грудной отдел позвоночника)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грудного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позвоночника и хирургического лечения особенно тяжелых деформаций при травмах, дегенеративных и онкологических заболеваниях,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телескопическим для замещения тел позвонков.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2 </w:t>
            </w:r>
            <w:r>
              <w:rPr>
                <w:rFonts w:ascii="Times New Roman" w:hAnsi="Times New Roman"/>
                <w:sz w:val="24"/>
                <w:szCs w:val="24"/>
              </w:rPr>
              <w:t>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низкопрофильный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Должны быть изготовлены из материала – титановый сплав Ti-6Al-4V градация V американский стандарт ASTM F136, немецкий стандарт DIN 17850, ISO  5832-3. Каждый винт имеет компресс</w:t>
            </w:r>
            <w:r>
              <w:rPr>
                <w:rFonts w:ascii="Times New Roman" w:hAnsi="Times New Roman"/>
                <w:sz w:val="24"/>
                <w:szCs w:val="24"/>
              </w:rPr>
              <w:t>ирующую резьбу в той части, которая будет находиться в ножке позвонка, и специальную широколопастную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для  инструментальной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делает не нужным использования редукционных винтов. - Общая величина степени свободы вращения должна быть 60° при любом диаметре винта. - Диаметр дистального сердечника винтов с 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резьбы 4.5 мм – 2.0 мм. - Диаметр проксимального сердечника винтов с диаметром резьбы 4.5 мм – 3.7 мм. - Диаметр дистального сердечника винтов с диаметром резьбы 5.5 мм – 2.5 мм. - Диаметр проксимального сердечника винтов с диаметром резьбы  5.5 мм  - 4.6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 - Диаметр дистального сердечника винтов с диаметром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резьбы 6.5 мм – 2.9 мм. - Диаметр проксимального сердечника винтов с диаметром резьбы 6.5 мм – 5.1 мм. - Диаметр дистального сердечника винтов с диаметром резьбы 7.5 мм – 3.6 мм. - Диаметр проксималь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сердечника винтов с диаметром резьбы 7.5 мм – 6.1 мм. - Диаметры винтов: 4.5 мм; 5.5 мм; 6.5 мм; 7.5мм; 8.5мм; 9.5 мм. - Длины винтов: 25 мм - 100 мм. -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15,3 мм. -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13,9 мм. - Глубина посадочного место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12,7 мм. Имеется литерная маркировка производителя. Материал возможно многократно подвергать стерилизации. Обязательно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наборе инструментов для установки стержня и динамометрического ключа для затягивания блокирующего винта.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изготовлены из материала – чистый титан градация IV, американский стандарт ASTM F67, немецкий стандарт DIN 17850, ISO  5832-2. Гладкий стержень для жесткой фиксации, круглог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сечения, с возможностью придания необходимого изгиба  и тримминга специальными кусачками. Диаметр титановых стержней 6 мм. Длина стержней 90, 120, 140 мм. Возможность укорочения стержней во время операции.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Имеется литерная маркировка производителя. Матер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 возможно многократно подвергать стерилизации.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Крюк (коннектор)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</w:t>
            </w:r>
            <w:r>
              <w:rPr>
                <w:rFonts w:ascii="Times New Roman" w:hAnsi="Times New Roman"/>
                <w:sz w:val="24"/>
                <w:szCs w:val="24"/>
              </w:rPr>
              <w:t>сации позвоночника в грудном, поясничном отделах при дегенеративных поражениях, деформациях, травмах 4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изготовлены из материала – титановый сплав Ti-6Al-4V градация V американский стандарт ASTM F136, немецкий стандарт DIN 17850, ISO  5832-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Цветовая маркировка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поверхности для удобства врачей. Возможность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Низкопрофильные камертонного типа. - Имеют специальные пазы являются местом фиксации хирургических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 процессе осуществления сложных корригирующих маневров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бокового перемещения, фиксации стержня в ходе оперативного вмешательства. - Высота головки  - 11.0 мм. - Ширина головки – 11,5 мм. - Диаметр  – 9,0 мм. Имеется литерная маркировка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зводителя. Материал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винт блокирующего.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</w:t>
            </w:r>
            <w:r>
              <w:rPr>
                <w:rFonts w:ascii="Times New Roman" w:hAnsi="Times New Roman"/>
                <w:sz w:val="24"/>
                <w:szCs w:val="24"/>
              </w:rPr>
              <w:t>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Крюк ламинарный малый, стандартное лезвие (коннектор) - Ширина лезвия – 7 мм, диаметр кривизны крючка – 7,5 мм,  длина лезвия - 14,0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Крюк ламинарный гру</w:t>
            </w:r>
            <w:r>
              <w:rPr>
                <w:rFonts w:ascii="Times New Roman" w:hAnsi="Times New Roman"/>
                <w:sz w:val="24"/>
                <w:szCs w:val="24"/>
              </w:rPr>
              <w:t>дной, стандартное лезвие (коннектор) - Ширина лезвия – 6,0 мм, диаметр кривизны крючка – 6, 0 мм, длина лезвия - 14,0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Крюк ламинарный грудной, узкое лезвие (коннектор) - Ширина лезвия – 4,5 мм, диаметр кривизны крючка – 6, 0 мм, длина лезвия - 14,0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блокирующий (блокиратор) для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изготовлены из материала – титановый сплав Ti-6Al-4V градация V американский стандарт ASTM F136, немецкий станда</w:t>
            </w:r>
            <w:r>
              <w:rPr>
                <w:rFonts w:ascii="Times New Roman" w:hAnsi="Times New Roman"/>
                <w:sz w:val="24"/>
                <w:szCs w:val="24"/>
              </w:rPr>
              <w:t>рт DIN 17850, ISO  5832-3. Однокомпонентный низкопрофильный внутренний, под гексагональную отвертку диаметром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</w:t>
            </w:r>
            <w:r>
              <w:rPr>
                <w:rFonts w:ascii="Times New Roman" w:hAnsi="Times New Roman"/>
                <w:sz w:val="24"/>
                <w:szCs w:val="24"/>
              </w:rPr>
              <w:t>чивания. Количество витков резьба три. На верней поверхности имеет восемь лазерные насечки, расположенные друг от друга на равном расстоянии от внутреннего диаметра к наружному.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блокирующий винт - блокирование в один шаг. Патентованная конструкция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кирующего винта исключает самопроизвольное выкручивание. Имеется литерная маркировка производителя.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 многократно подвергать стерилизации. Обязательно наличие в наборе инструментов для установки стержня и динамометрического ключа для затяги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блокирующего винта. Применение блокирующих винтов для переднебоковой фиксации позвоночника.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 с МРТ и КТ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Должен быть изготовлены из материала – титановый сплав Ti-6Al-4V градация V американский стандарт ASTM F136, немецкий стандарт DIN 17850, ISO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коннекторы для дополнительной стабилизации конструкций.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коннекторов для конструкций – 31-35, 38-43 мм. Два встроенных блокирующих винта в коннектор должны быть с двух сторон для фиксации на стержни и подходить под гексагональную отвертку диаметром 3,5 мм, а так же один центральны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винт под гексагональную отвертку диаметром 8,0 мм. Имеется литерная маркировка производителя. Материал возможно многократно подвергать стерилизации.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</w:t>
            </w:r>
            <w:r>
              <w:rPr>
                <w:rFonts w:ascii="Times New Roman" w:hAnsi="Times New Roman"/>
                <w:sz w:val="24"/>
                <w:szCs w:val="24"/>
              </w:rPr>
              <w:t>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телескопический для замещения тел позвонков в грудном отделе позвоночника, состоящий из двух основных частей (крышка концевая - 2 штука,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база+сред</w:t>
            </w:r>
            <w:r>
              <w:rPr>
                <w:rFonts w:ascii="Times New Roman" w:hAnsi="Times New Roman"/>
                <w:sz w:val="24"/>
                <w:szCs w:val="24"/>
              </w:rPr>
              <w:t>иная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часть+ встроенный блокиратор) – 1 штука). Все компоненты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изготавливаются из: титановый сплав Ti-6Al-4V градация V американский стандарт ASTM F136, немецкий стандарт DIN 17850.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Встроенный запирательный блокиратор сохраняет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целостности и предотвращает любые возможные изменения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Блокировка в один шаг. Предустановленная срединная часть делает возможным подгонку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вплоть до миллиметра. Большие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позволяют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костной крошки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выбранного и собранного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собранном виде (2 концевые крышки +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диаметр: 22 мм. Возможная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с концевыми крышками  0º ): 20,5-27,5 мм 25 - 36,5; 32 - 50,5 мм.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минимальном наборе инструментов (отвертка блокиратора и экспандера). Концевые крышки: зазубренная поверхность; Углы наклона концевых крышек: 0º, высота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мм; 3º, высота 2,5 мм; Один и тот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применять как для лордоза так и кифоза физиологического развернув концевые крышки на 180 град. Имеется литерная маркировка производителя. Материал возможно многократно подвергать стерилизации. Согласно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комендациям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производителя, условия  транспортировки  должны исключать возможность  повреждения  индивидуальной заводской упаковки.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00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позвоночника). Состоит: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4 шт.:  Изготовлен из материала – титановый сплав Ti-6Al-4V градация V американский стандарт ASTM F136, немецкий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DIN 17850, ISO  5832-3.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имплантов.Низкопрофильные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компрессирующую резьбу в той части, которая будет находиться в ножке позвонка, и специальную шир</w:t>
            </w:r>
            <w:r>
              <w:rPr>
                <w:rFonts w:ascii="Times New Roman" w:hAnsi="Times New Roman"/>
                <w:sz w:val="24"/>
                <w:szCs w:val="24"/>
              </w:rPr>
              <w:t>околопастную резьбу для фиксации в теле позвонка. Имеются специальные пазы для инструментальной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дистального сердечник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винтов с диаметром резьбы 4.5 мм – 2.0 мм. Диаметр проксимального сердечника винтов с 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5.5 мм  - 4.6 мм. Диаметр дистального сердечника винтов с диаметром резьбы 6.5 мм – 2.9 мм. Диаметр проксимального сердечника винтов с диаметром резьбы 6.5 мм – 5.1 мм. Диаметр дистального сердечника винтов с диаметром резьбы 7.5 мм – 3.6 мм. Диаметр прок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симального сердечника винтов с диаметром резьбы 7.5 мм – 6.1 мм..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обязательно:4.5 мм; 5.5 мм; 6.5 мм; 7.5мм; 8.5мм.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обязательно:55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винта- 13.0 мм. Ширина 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– 13,9 мм. Глубина посадочного место под стержень – 10,0 мм. Имеется литерная маркировка производителя. Материал возможно многократно подвергать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фиксации) 2 шт.: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 низкопрофильный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Изготовлен из материала – титановый сплав Ti-6Al-4V градация V американский стандарт ASTM F136, немецкий стандарт DIN 17850, ISO  5832-3. Каждый винт имеет компрессирующую резьбу в </w:t>
            </w:r>
            <w:r>
              <w:rPr>
                <w:rFonts w:ascii="Times New Roman" w:hAnsi="Times New Roman"/>
                <w:sz w:val="24"/>
                <w:szCs w:val="24"/>
              </w:rPr>
              <w:t>той части, которая будет находиться в ножке позвонка, и специальную широколопастную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для 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нтальной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делает не нужным использования редукционных винтов. Общая величина степени свободы вращения 60° при любом диаметре винта. Диаметр дистального сердечника винтов с диаметром резьбы 4.5 мм – 2.0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t>проксимального сердечника винтов с 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с диаметром резьбы 6.5 мм – 2.9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проксимального сердечника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7.5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– 6.1 мм. Диаметры винтов: 4.5 мм; 5.5 мм; 6.5 мм; 7.5мм; 8.5мм; 9.5 мм. Длины винтов: 55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15,3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13,9 мм. Глубина посадочного место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12,7 мм. Имеется литерная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производителя.Материал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 многократно подвергать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блокирующий (блокиратор) XIA, (для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6 шт. Изготовлен из материала – титановый сплав Ti-6Al-4V градация V американский стандарт ASTM F136, немецкий стандарт DI</w:t>
            </w:r>
            <w:r>
              <w:rPr>
                <w:rFonts w:ascii="Times New Roman" w:hAnsi="Times New Roman"/>
                <w:sz w:val="24"/>
                <w:szCs w:val="24"/>
              </w:rPr>
              <w:t>N 17850, ISO  5832-3. Однокомпонентный низкопрофильный внутренний, под гексагональную отвертку диаметром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вывинчиван</w:t>
            </w:r>
            <w:r>
              <w:rPr>
                <w:rFonts w:ascii="Times New Roman" w:hAnsi="Times New Roman"/>
                <w:sz w:val="24"/>
                <w:szCs w:val="24"/>
              </w:rPr>
              <w:t>ия. Количество витков резьба 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верней поверхности восемь лазерных насечки, расположенные друг от друга на равном расстоянии от внутреннего диаметра к наружному. Один блокирующий винт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блокирование в один шаг. Патентованная конструкция блокирующего в</w:t>
            </w:r>
            <w:r>
              <w:rPr>
                <w:rFonts w:ascii="Times New Roman" w:hAnsi="Times New Roman"/>
                <w:sz w:val="24"/>
                <w:szCs w:val="24"/>
              </w:rPr>
              <w:t>инта исключает самопроизвольное выкручивание. Имеется литерная маркировка производителя. Материал возможно многократно подвергать стерилизации. Применение блокирующих винтов для переднебоковой фиксации позвоночника. Совместимость инструментальных наборов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титановый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фиксации)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шт:Изготовлены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– чистый титан градация IV, американский стандарт A</w:t>
            </w:r>
            <w:r>
              <w:rPr>
                <w:rFonts w:ascii="Times New Roman" w:hAnsi="Times New Roman"/>
                <w:sz w:val="24"/>
                <w:szCs w:val="24"/>
              </w:rPr>
              <w:t>STM F67, немецкий стандарт DIN 17850, ISO  5832-2. Гладкий стержень для жесткой фиксации, круглого сечения, с возможностью придания необходимого изгиба  и тримминга специальными кусачками. Диаметр титановых стержней 6 мм. Длина стержней 480 мм.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укорочения стержней во время операции. Имеется литерная маркировка производителя. Материал возможно многократно подвергать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</w:t>
            </w:r>
            <w:r>
              <w:rPr>
                <w:rFonts w:ascii="Times New Roman" w:hAnsi="Times New Roman"/>
                <w:sz w:val="24"/>
                <w:szCs w:val="24"/>
              </w:rPr>
              <w:t>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MAC (поперечный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1 шт.: Изготовлены из материала – титановый сплав Ti-6Al-4V градация V американский стандарт ASTM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136, немецкий стандарт DIN 17850, ISO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коннекторы для дополнительной стабилизации конструкций.  Длина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коннекторов для конструкций – 38-43, 42-51, 50-67 мм. Два встроенных блокирующих винта в к</w:t>
            </w:r>
            <w:r>
              <w:rPr>
                <w:rFonts w:ascii="Times New Roman" w:hAnsi="Times New Roman"/>
                <w:sz w:val="24"/>
                <w:szCs w:val="24"/>
              </w:rPr>
              <w:t>оннектор с двух сторон для фиксации на стержни и подходит под гексагональную отвертку диаметром 3,5 мм, а так же один центральный винт под гексагональную отвертку диаметром 8,0 мм Имеется литерная маркировка производителя. Материал возможно многократно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00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позвоночника)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поясничного отдела позвоночника и хирургического лечения особенно тяжелых деформаций при травмах, дегенеративных и онкологических заболеваниях,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</w:t>
            </w:r>
            <w:r>
              <w:rPr>
                <w:rFonts w:ascii="Times New Roman" w:hAnsi="Times New Roman"/>
                <w:sz w:val="24"/>
                <w:szCs w:val="24"/>
              </w:rPr>
              <w:t>опическим для замещения тел позвонков.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4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материала – титановый сплав Ti-6Al-4V градация V американский стандарт ASTM F136, немецкий стандарт DIN 17850, ISO  5832-3. Цв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Низкопрофильные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компрессирующую резьбу в той части, которая будет находиться в ножке позвонка, и специальную широколопастную резьбу для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ксации в теле позвонка. Имеют специальные пазы для инструментальной установки, что делает не нужным использования редукционных винтов. Кончик винтов тупой 60° для предотвращения повреждения сосудов. Диаметр дистального сердечника винтов с диаметром резьбы </w:t>
            </w:r>
            <w:r>
              <w:rPr>
                <w:rFonts w:ascii="Times New Roman" w:hAnsi="Times New Roman"/>
                <w:sz w:val="24"/>
                <w:szCs w:val="24"/>
              </w:rPr>
              <w:t>4.5 мм – 2.0 мм. Диаметр проксимального сердечника винтов с 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истального сердечника винтов с диаметром резьбы 6.5 мм – 2.9 мм. Диаметр проксимального сердечника винтов с диаметром резьбы 6.5 мм – 5.1 мм.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дистального сердечника винтов с диаметром резьбы 7.5 мм – 3.6 мм. Диаметр проксимального сердечника винтов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диаметром резьбы 7.5 мм – 6.1 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обязательно:4.5 мм; 5.5 мм; 6.5 мм; 7.5мм; 8.5мм.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обязательно:25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винта- 13.0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– 1</w:t>
            </w:r>
            <w:r>
              <w:rPr>
                <w:rFonts w:ascii="Times New Roman" w:hAnsi="Times New Roman"/>
                <w:sz w:val="24"/>
                <w:szCs w:val="24"/>
              </w:rPr>
              <w:t>3,9 мм. Глубина посадочного место под стержень – 10,0 мм. Имеется литерная маркировка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возможно многократно подвергать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низкопрофильный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Должны быть изготовлены из материала – титановый сплав Ti-6Al-4V градация V американский стандарт ASTM F136, немецкий стандарт DIN 17850, ISO  5832-3. Каждый винт имеет компрессирующую резьбу в той части, которая буд</w:t>
            </w:r>
            <w:r>
              <w:rPr>
                <w:rFonts w:ascii="Times New Roman" w:hAnsi="Times New Roman"/>
                <w:sz w:val="24"/>
                <w:szCs w:val="24"/>
              </w:rPr>
              <w:t>ет находиться в ножке позвонка, и специальную широколопастную резьбу для фиксации в теле позвонка. Кончик винтов тупой 60° для предотвращения повреждения сосудов. Каждый винт имеет специальные пазы по бокам головки винта для  инструментальной установки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делает не нужным использования редукционных винтов. Общая величина степени свободы вращения должна быть 60° при любом диаметре винта. Диаметр дистального сердечника винтов с диаметром резьбы 4.5 мм – 2.0 мм. Диаметр проксималь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сердечника винтов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резьбы 4.5 мм – 3.7 мм. Диаметр дистального сердечника винтов с диаметром резьбы 5.5 мм – 2.5 мм. Диаметр проксимального сердечника винтов с диаметром резьбы  5.5 мм  - 4.6 мм. Диаметр дистального сердечника винтов с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резьбы 6.5 мм – 2.9 мм. Диаметр проксимального сердечника винтов с диаметром резьбы 6.5 мм – 5.1 мм. Диаметр дистального сердечника винтов с диаметром резьбы 7.5 мм – 3.6 мм. Диаметр проксимального сердечника винтов с диаметром резьбы 7.5 мм – 6.1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Диаметры винтов: 4.5 мм; 5.5 мм; 6.5 мм; 7.5мм; 8.5мм; 9.5 мм. Длины винтов: 25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15,3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13,9 мм. Глубина посадочного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12,7 мм. Имеется литерная маркировка производителя. Материал возможно многократно подвергать стерилизации. Обязательно наличие в наборе инструментов для установки стержня и динамометрического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ключа для затягивания блокирующего винта.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блокирующий (блокиратор) для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изготовлены из материала – титановый сплав Ti-6Al-4V градация V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американский стандарт ASTM F136, немецкий стандарт DIN 17850, ISO  5832-3. Однокомпонентный низкопро</w:t>
            </w:r>
            <w:r>
              <w:rPr>
                <w:rFonts w:ascii="Times New Roman" w:hAnsi="Times New Roman"/>
                <w:sz w:val="24"/>
                <w:szCs w:val="24"/>
              </w:rPr>
              <w:t>фильный внутренний, под гексагональную отвертку диаметром 5 мм, имеет уникальную резьбу трапециевидной формы, препятствующую проскальзыванию, обеспечивающую легкость установки и снижение возможности вывинчивания. Количество витков резьба три. На верней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ерхности имеет восемь лазерные насечки, расположенные друг от друга на равном расстоянии от внутреннего диаметра к наружному.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блокирующий винт - блокирование в один шаг. Патентованная конструкция блокирующего винта исключает самопроизвольное выкручива</w:t>
            </w:r>
            <w:r>
              <w:rPr>
                <w:rFonts w:ascii="Times New Roman" w:hAnsi="Times New Roman"/>
                <w:sz w:val="24"/>
                <w:szCs w:val="24"/>
              </w:rPr>
              <w:t>ние. Имеется литерная маркировка производителя. Материал возможно многократно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Применение блокирующих 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для переднебоковой фиксации позвоночника.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изготовлены из материала – чистый титан градация IV, американский стандарт ASTM F67, немецкий стандарт DIN 17850, ISO  5832-2. Гладкий стержень для жесткой фиксации, круглого сечения, с возможностью придания необходимого изгиба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тримми</w:t>
            </w:r>
            <w:r>
              <w:rPr>
                <w:rFonts w:ascii="Times New Roman" w:hAnsi="Times New Roman"/>
                <w:sz w:val="24"/>
                <w:szCs w:val="24"/>
              </w:rPr>
              <w:t>нга специальными кусачками. Диаметр титановых стержней 6 мм. Длина стержней 240, 250 мм. Возможность укорочения стержней во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Имеется литерная маркировка производителя. Материал возможно многократно подвергать стерилизации. Обязательна совмес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жны быть изготовлены из материала – титановый сплав Ti-6Al-4V градация V американский стандарт ASTM F136, немецкий стандарт DIN 17850, ISO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коннекторы для дополнительной стабилизации конструкций. Длина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</w:t>
            </w:r>
            <w:r>
              <w:rPr>
                <w:rFonts w:ascii="Times New Roman" w:hAnsi="Times New Roman"/>
                <w:sz w:val="24"/>
                <w:szCs w:val="24"/>
              </w:rPr>
              <w:t>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коннекторов для конструкций – 42-51, 66-99 мм. Два встроенных блокирующих винта в коннектор должны быть с двух сторон для фиксации на стержни и подходить под гексагональную отвертку диаметром 3,5 мм, а так же один центральный винт под гексагональ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отвертку диаметром 8,0 мм. Имеется литерная маркировка производителя. Материал возможно многократно подвергать стерилизации.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</w:t>
            </w:r>
            <w:r>
              <w:rPr>
                <w:rFonts w:ascii="Times New Roman" w:hAnsi="Times New Roman"/>
                <w:sz w:val="24"/>
                <w:szCs w:val="24"/>
              </w:rPr>
              <w:t>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телескопический для замещения тел позвонков в поясничном отделе позвоночника, состоящий из двух основных частей (крышка концевая - 2 штука,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база+срединая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часть+ встроен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блокиратор) – 1 штука). Все компоненты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изготавливаются из: титановый сплав Ti-6Al-4V градация V американский стандарт ASTM F136, немецкий стандарт DIN 17850.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Встроенн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запирательный блокиратор сохраняет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целостности и предотвращает любые возможные изменения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Блокировка в один шаг. Предустановленная срединная часть делает возможным подгонку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вплоть до миллиметра. Большие окна позволяют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костной крошки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выбранного и собранного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собранном виде (2 концевые крышки +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диаметр: 26 мм. Возможная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собранного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концевыми крышками  0º ): 25-36,5 мм; 32-50,5 мм; 37 - 60,5 мм.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минимальном наборе инструментов (отвертка блокиратора и экспандера). Концевые крышки: Зазубренная поверхность; Углы наклона концевых крышек: 0º, высота 1 мм; 3º, высота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 мм; Один и тот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применять как для лордоза так и кифоза физиологического развернув концевые крышки на 180 град. Имеется литерная маркировка производителя. Материал возможно многократно подвергать стерилизации. Согласно рекомендациям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дителя, условия  транспортировки  должны исключать возможность  повреждения  индивидуальной заводской упаковки.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8115"/>
        </w:trPr>
        <w:tc>
          <w:tcPr>
            <w:tcW w:w="7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VertaPlex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средней вязкости 20 г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Представляет собой 2 стерильно упакованных 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компонент: ампула, содержащая бесцветный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Другой компонент: пакет 20гр мелко измельченного порошка (плоские</w:t>
            </w:r>
            <w:r>
              <w:rPr>
                <w:rFonts w:ascii="Times New Roman" w:hAnsi="Times New Roman"/>
                <w:sz w:val="24"/>
                <w:szCs w:val="24"/>
              </w:rPr>
              <w:t>, скученные микроскопические хлопья; между хлопьями находится воздух, что способствует полному проникновению жидкого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-Метилметакрилат (мономер)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-N, 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пероксид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с цементом: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одимость совмещения расходного материала с определенным оборудованием: ЭОП.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8E6C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70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7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55"/>
        </w:trPr>
        <w:tc>
          <w:tcPr>
            <w:tcW w:w="15118" w:type="dxa"/>
            <w:gridSpan w:val="8"/>
            <w:vMerge w:val="restart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</w:t>
            </w:r>
            <w:r>
              <w:rPr>
                <w:rFonts w:ascii="Times New Roman" w:hAnsi="Times New Roman"/>
                <w:sz w:val="28"/>
                <w:szCs w:val="28"/>
              </w:rPr>
              <w:t>л. 220-16-04.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350"/>
        </w:trPr>
        <w:tc>
          <w:tcPr>
            <w:tcW w:w="15118" w:type="dxa"/>
            <w:gridSpan w:val="8"/>
            <w:vMerge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</w:t>
            </w:r>
            <w:r>
              <w:rPr>
                <w:rFonts w:ascii="Times New Roman" w:hAnsi="Times New Roman"/>
                <w:sz w:val="28"/>
                <w:szCs w:val="28"/>
              </w:rPr>
              <w:t>в течение 5 календарных дней.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7" w:type="dxa"/>
          <w:trHeight w:val="225"/>
        </w:trPr>
        <w:tc>
          <w:tcPr>
            <w:tcW w:w="721" w:type="dxa"/>
            <w:shd w:val="clear" w:color="FFFFFF" w:fill="auto"/>
            <w:vAlign w:val="bottom"/>
          </w:tcPr>
          <w:p w:rsidR="009B5B5A" w:rsidRDefault="009B5B5A"/>
        </w:tc>
        <w:tc>
          <w:tcPr>
            <w:tcW w:w="2917" w:type="dxa"/>
            <w:shd w:val="clear" w:color="FFFFFF" w:fill="auto"/>
            <w:vAlign w:val="bottom"/>
          </w:tcPr>
          <w:p w:rsidR="009B5B5A" w:rsidRDefault="009B5B5A"/>
        </w:tc>
        <w:tc>
          <w:tcPr>
            <w:tcW w:w="4906" w:type="dxa"/>
            <w:shd w:val="clear" w:color="FFFFFF" w:fill="auto"/>
            <w:vAlign w:val="bottom"/>
          </w:tcPr>
          <w:p w:rsidR="009B5B5A" w:rsidRDefault="009B5B5A"/>
        </w:tc>
        <w:tc>
          <w:tcPr>
            <w:tcW w:w="818" w:type="dxa"/>
            <w:shd w:val="clear" w:color="FFFFFF" w:fill="auto"/>
            <w:vAlign w:val="bottom"/>
          </w:tcPr>
          <w:p w:rsidR="009B5B5A" w:rsidRDefault="009B5B5A"/>
        </w:tc>
        <w:tc>
          <w:tcPr>
            <w:tcW w:w="1129" w:type="dxa"/>
            <w:shd w:val="clear" w:color="FFFFFF" w:fill="auto"/>
            <w:vAlign w:val="bottom"/>
          </w:tcPr>
          <w:p w:rsidR="009B5B5A" w:rsidRDefault="009B5B5A"/>
        </w:tc>
        <w:tc>
          <w:tcPr>
            <w:tcW w:w="1291" w:type="dxa"/>
            <w:shd w:val="clear" w:color="FFFFFF" w:fill="auto"/>
            <w:vAlign w:val="bottom"/>
          </w:tcPr>
          <w:p w:rsidR="009B5B5A" w:rsidRDefault="009B5B5A"/>
        </w:tc>
        <w:tc>
          <w:tcPr>
            <w:tcW w:w="1754" w:type="dxa"/>
            <w:shd w:val="clear" w:color="FFFFFF" w:fill="auto"/>
            <w:vAlign w:val="bottom"/>
          </w:tcPr>
          <w:p w:rsidR="009B5B5A" w:rsidRDefault="009B5B5A"/>
        </w:tc>
        <w:tc>
          <w:tcPr>
            <w:tcW w:w="1582" w:type="dxa"/>
            <w:shd w:val="clear" w:color="FFFFFF" w:fill="auto"/>
            <w:vAlign w:val="bottom"/>
          </w:tcPr>
          <w:p w:rsidR="009B5B5A" w:rsidRDefault="009B5B5A"/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9B5B5A" w:rsidTr="0098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9B5B5A" w:rsidRDefault="008E6C90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8E6C90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B5A"/>
    <w:rsid w:val="008E6C90"/>
    <w:rsid w:val="009873D8"/>
    <w:rsid w:val="009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CCC69-1E84-498F-919D-D6BA16C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4720</Words>
  <Characters>26910</Characters>
  <Application>Microsoft Office Word</Application>
  <DocSecurity>0</DocSecurity>
  <Lines>224</Lines>
  <Paragraphs>63</Paragraphs>
  <ScaleCrop>false</ScaleCrop>
  <Company/>
  <LinksUpToDate>false</LinksUpToDate>
  <CharactersWithSpaces>31567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2017-11-02T08:08:00Z</dcterms:created>
  <dcterms:modified xsi:type="dcterms:W3CDTF">2017-11-02T08:11:00Z</dcterms:modified>
</cp:coreProperties>
</file>