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148"/>
        <w:gridCol w:w="4829"/>
        <w:gridCol w:w="864"/>
        <w:gridCol w:w="1083"/>
        <w:gridCol w:w="1250"/>
        <w:gridCol w:w="1748"/>
        <w:gridCol w:w="1564"/>
        <w:gridCol w:w="533"/>
      </w:tblGrid>
      <w:tr w:rsidR="00EB68C8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615"/>
        </w:trPr>
        <w:tc>
          <w:tcPr>
            <w:tcW w:w="8663" w:type="dxa"/>
            <w:gridSpan w:val="3"/>
            <w:vMerge w:val="restart"/>
            <w:shd w:val="clear" w:color="FFFFFF" w:fill="auto"/>
            <w:vAlign w:val="bottom"/>
          </w:tcPr>
          <w:p w:rsidR="00EB68C8" w:rsidRDefault="00EB68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EB68C8" w:rsidRDefault="00EB68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EB68C8" w:rsidRDefault="00EB68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EB68C8" w:rsidRDefault="00EB68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EB68C8" w:rsidRDefault="00EB68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EB68C8" w:rsidRPr="00EB68C8" w:rsidRDefault="00EB68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68C8">
              <w:rPr>
                <w:rFonts w:ascii="Times New Roman" w:hAnsi="Times New Roman"/>
                <w:sz w:val="24"/>
                <w:szCs w:val="24"/>
              </w:rPr>
              <w:t>-</w:t>
            </w:r>
            <w:r w:rsidRPr="00EB68C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B68C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B68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B68C8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EB68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B68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B68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B68C8" w:rsidRDefault="00EB68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EB68C8" w:rsidRDefault="00EB68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EB68C8" w:rsidRDefault="00EB68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EB68C8" w:rsidRDefault="00EB68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.11.2017 г. №.653-2017</w:t>
            </w:r>
          </w:p>
          <w:p w:rsidR="00EB68C8" w:rsidRDefault="00EB68C8" w:rsidP="00B753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864" w:type="dxa"/>
            <w:shd w:val="clear" w:color="FFFFFF" w:fill="auto"/>
            <w:vAlign w:val="bottom"/>
          </w:tcPr>
          <w:p w:rsidR="00EB68C8" w:rsidRDefault="00EB68C8"/>
        </w:tc>
        <w:tc>
          <w:tcPr>
            <w:tcW w:w="2333" w:type="dxa"/>
            <w:gridSpan w:val="2"/>
            <w:shd w:val="clear" w:color="FFFFFF" w:fill="auto"/>
            <w:vAlign w:val="bottom"/>
          </w:tcPr>
          <w:p w:rsidR="00EB68C8" w:rsidRDefault="00EB68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8" w:type="dxa"/>
            <w:shd w:val="clear" w:color="FFFFFF" w:fill="auto"/>
            <w:vAlign w:val="bottom"/>
          </w:tcPr>
          <w:p w:rsidR="00EB68C8" w:rsidRDefault="00EB68C8"/>
        </w:tc>
        <w:tc>
          <w:tcPr>
            <w:tcW w:w="1564" w:type="dxa"/>
            <w:shd w:val="clear" w:color="FFFFFF" w:fill="auto"/>
            <w:vAlign w:val="bottom"/>
          </w:tcPr>
          <w:p w:rsidR="00EB68C8" w:rsidRDefault="00EB68C8"/>
        </w:tc>
      </w:tr>
      <w:tr w:rsidR="00EB68C8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15"/>
        </w:trPr>
        <w:tc>
          <w:tcPr>
            <w:tcW w:w="8663" w:type="dxa"/>
            <w:gridSpan w:val="3"/>
            <w:vMerge/>
            <w:shd w:val="clear" w:color="FFFFFF" w:fill="auto"/>
            <w:vAlign w:val="bottom"/>
          </w:tcPr>
          <w:p w:rsidR="00EB68C8" w:rsidRDefault="00EB68C8" w:rsidP="00B7538C">
            <w:pPr>
              <w:jc w:val="center"/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EB68C8" w:rsidRDefault="00EB68C8"/>
        </w:tc>
        <w:tc>
          <w:tcPr>
            <w:tcW w:w="1083" w:type="dxa"/>
            <w:shd w:val="clear" w:color="FFFFFF" w:fill="auto"/>
            <w:vAlign w:val="bottom"/>
          </w:tcPr>
          <w:p w:rsidR="00EB68C8" w:rsidRDefault="00EB68C8"/>
        </w:tc>
        <w:tc>
          <w:tcPr>
            <w:tcW w:w="1250" w:type="dxa"/>
            <w:shd w:val="clear" w:color="FFFFFF" w:fill="auto"/>
            <w:vAlign w:val="bottom"/>
          </w:tcPr>
          <w:p w:rsidR="00EB68C8" w:rsidRDefault="00EB68C8"/>
        </w:tc>
        <w:tc>
          <w:tcPr>
            <w:tcW w:w="1748" w:type="dxa"/>
            <w:shd w:val="clear" w:color="FFFFFF" w:fill="auto"/>
            <w:vAlign w:val="bottom"/>
          </w:tcPr>
          <w:p w:rsidR="00EB68C8" w:rsidRDefault="00EB68C8"/>
        </w:tc>
        <w:tc>
          <w:tcPr>
            <w:tcW w:w="1564" w:type="dxa"/>
            <w:shd w:val="clear" w:color="FFFFFF" w:fill="auto"/>
            <w:vAlign w:val="bottom"/>
          </w:tcPr>
          <w:p w:rsidR="00EB68C8" w:rsidRDefault="00EB68C8"/>
        </w:tc>
      </w:tr>
      <w:tr w:rsidR="00EB68C8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15"/>
        </w:trPr>
        <w:tc>
          <w:tcPr>
            <w:tcW w:w="8663" w:type="dxa"/>
            <w:gridSpan w:val="3"/>
            <w:vMerge/>
            <w:shd w:val="clear" w:color="FFFFFF" w:fill="auto"/>
            <w:vAlign w:val="bottom"/>
          </w:tcPr>
          <w:p w:rsidR="00EB68C8" w:rsidRDefault="00EB68C8" w:rsidP="00B7538C">
            <w:pPr>
              <w:jc w:val="center"/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EB68C8" w:rsidRDefault="00EB68C8"/>
        </w:tc>
        <w:tc>
          <w:tcPr>
            <w:tcW w:w="1083" w:type="dxa"/>
            <w:shd w:val="clear" w:color="FFFFFF" w:fill="auto"/>
            <w:vAlign w:val="bottom"/>
          </w:tcPr>
          <w:p w:rsidR="00EB68C8" w:rsidRDefault="00EB68C8"/>
        </w:tc>
        <w:tc>
          <w:tcPr>
            <w:tcW w:w="1250" w:type="dxa"/>
            <w:shd w:val="clear" w:color="FFFFFF" w:fill="auto"/>
            <w:vAlign w:val="bottom"/>
          </w:tcPr>
          <w:p w:rsidR="00EB68C8" w:rsidRDefault="00EB68C8"/>
        </w:tc>
        <w:tc>
          <w:tcPr>
            <w:tcW w:w="1748" w:type="dxa"/>
            <w:shd w:val="clear" w:color="FFFFFF" w:fill="auto"/>
            <w:vAlign w:val="bottom"/>
          </w:tcPr>
          <w:p w:rsidR="00EB68C8" w:rsidRDefault="00EB68C8"/>
        </w:tc>
        <w:tc>
          <w:tcPr>
            <w:tcW w:w="1564" w:type="dxa"/>
            <w:shd w:val="clear" w:color="FFFFFF" w:fill="auto"/>
            <w:vAlign w:val="bottom"/>
          </w:tcPr>
          <w:p w:rsidR="00EB68C8" w:rsidRDefault="00EB68C8"/>
        </w:tc>
      </w:tr>
      <w:tr w:rsidR="00EB68C8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15"/>
        </w:trPr>
        <w:tc>
          <w:tcPr>
            <w:tcW w:w="8663" w:type="dxa"/>
            <w:gridSpan w:val="3"/>
            <w:vMerge/>
            <w:shd w:val="clear" w:color="FFFFFF" w:fill="auto"/>
            <w:vAlign w:val="bottom"/>
          </w:tcPr>
          <w:p w:rsidR="00EB68C8" w:rsidRDefault="00EB68C8" w:rsidP="00B7538C">
            <w:pPr>
              <w:jc w:val="center"/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EB68C8" w:rsidRDefault="00EB68C8"/>
        </w:tc>
        <w:tc>
          <w:tcPr>
            <w:tcW w:w="1083" w:type="dxa"/>
            <w:shd w:val="clear" w:color="FFFFFF" w:fill="auto"/>
            <w:vAlign w:val="bottom"/>
          </w:tcPr>
          <w:p w:rsidR="00EB68C8" w:rsidRDefault="00EB68C8"/>
        </w:tc>
        <w:tc>
          <w:tcPr>
            <w:tcW w:w="1250" w:type="dxa"/>
            <w:shd w:val="clear" w:color="FFFFFF" w:fill="auto"/>
            <w:vAlign w:val="bottom"/>
          </w:tcPr>
          <w:p w:rsidR="00EB68C8" w:rsidRDefault="00EB68C8"/>
        </w:tc>
        <w:tc>
          <w:tcPr>
            <w:tcW w:w="1748" w:type="dxa"/>
            <w:shd w:val="clear" w:color="FFFFFF" w:fill="auto"/>
            <w:vAlign w:val="bottom"/>
          </w:tcPr>
          <w:p w:rsidR="00EB68C8" w:rsidRDefault="00EB68C8"/>
        </w:tc>
        <w:tc>
          <w:tcPr>
            <w:tcW w:w="1564" w:type="dxa"/>
            <w:shd w:val="clear" w:color="FFFFFF" w:fill="auto"/>
            <w:vAlign w:val="bottom"/>
          </w:tcPr>
          <w:p w:rsidR="00EB68C8" w:rsidRDefault="00EB68C8"/>
        </w:tc>
      </w:tr>
      <w:tr w:rsidR="00EB68C8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15"/>
        </w:trPr>
        <w:tc>
          <w:tcPr>
            <w:tcW w:w="8663" w:type="dxa"/>
            <w:gridSpan w:val="3"/>
            <w:vMerge/>
            <w:shd w:val="clear" w:color="FFFFFF" w:fill="auto"/>
            <w:vAlign w:val="bottom"/>
          </w:tcPr>
          <w:p w:rsidR="00EB68C8" w:rsidRDefault="00EB68C8" w:rsidP="00B7538C">
            <w:pPr>
              <w:jc w:val="center"/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EB68C8" w:rsidRDefault="00EB68C8"/>
        </w:tc>
        <w:tc>
          <w:tcPr>
            <w:tcW w:w="1083" w:type="dxa"/>
            <w:shd w:val="clear" w:color="FFFFFF" w:fill="auto"/>
            <w:vAlign w:val="bottom"/>
          </w:tcPr>
          <w:p w:rsidR="00EB68C8" w:rsidRDefault="00EB68C8"/>
        </w:tc>
        <w:tc>
          <w:tcPr>
            <w:tcW w:w="1250" w:type="dxa"/>
            <w:shd w:val="clear" w:color="FFFFFF" w:fill="auto"/>
            <w:vAlign w:val="bottom"/>
          </w:tcPr>
          <w:p w:rsidR="00EB68C8" w:rsidRDefault="00EB68C8"/>
        </w:tc>
        <w:tc>
          <w:tcPr>
            <w:tcW w:w="1748" w:type="dxa"/>
            <w:shd w:val="clear" w:color="FFFFFF" w:fill="auto"/>
            <w:vAlign w:val="bottom"/>
          </w:tcPr>
          <w:p w:rsidR="00EB68C8" w:rsidRDefault="00EB68C8"/>
        </w:tc>
        <w:tc>
          <w:tcPr>
            <w:tcW w:w="1564" w:type="dxa"/>
            <w:shd w:val="clear" w:color="FFFFFF" w:fill="auto"/>
            <w:vAlign w:val="bottom"/>
          </w:tcPr>
          <w:p w:rsidR="00EB68C8" w:rsidRDefault="00EB68C8"/>
        </w:tc>
      </w:tr>
      <w:tr w:rsidR="00EB68C8" w:rsidRPr="00EB68C8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15"/>
        </w:trPr>
        <w:tc>
          <w:tcPr>
            <w:tcW w:w="8663" w:type="dxa"/>
            <w:gridSpan w:val="3"/>
            <w:vMerge/>
            <w:shd w:val="clear" w:color="FFFFFF" w:fill="auto"/>
            <w:vAlign w:val="bottom"/>
          </w:tcPr>
          <w:p w:rsidR="00EB68C8" w:rsidRPr="00EB68C8" w:rsidRDefault="00EB68C8" w:rsidP="00B7538C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EB68C8" w:rsidRPr="00EB68C8" w:rsidRDefault="00EB68C8">
            <w:pPr>
              <w:rPr>
                <w:lang w:val="en-US"/>
              </w:rPr>
            </w:pPr>
          </w:p>
        </w:tc>
        <w:tc>
          <w:tcPr>
            <w:tcW w:w="1083" w:type="dxa"/>
            <w:shd w:val="clear" w:color="FFFFFF" w:fill="auto"/>
            <w:vAlign w:val="bottom"/>
          </w:tcPr>
          <w:p w:rsidR="00EB68C8" w:rsidRPr="00EB68C8" w:rsidRDefault="00EB68C8">
            <w:pPr>
              <w:rPr>
                <w:lang w:val="en-US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EB68C8" w:rsidRPr="00EB68C8" w:rsidRDefault="00EB68C8">
            <w:pPr>
              <w:rPr>
                <w:lang w:val="en-US"/>
              </w:rPr>
            </w:pPr>
          </w:p>
        </w:tc>
        <w:tc>
          <w:tcPr>
            <w:tcW w:w="1748" w:type="dxa"/>
            <w:shd w:val="clear" w:color="FFFFFF" w:fill="auto"/>
            <w:vAlign w:val="bottom"/>
          </w:tcPr>
          <w:p w:rsidR="00EB68C8" w:rsidRPr="00EB68C8" w:rsidRDefault="00EB68C8">
            <w:pPr>
              <w:rPr>
                <w:lang w:val="en-US"/>
              </w:rPr>
            </w:pPr>
          </w:p>
        </w:tc>
        <w:tc>
          <w:tcPr>
            <w:tcW w:w="1564" w:type="dxa"/>
            <w:shd w:val="clear" w:color="FFFFFF" w:fill="auto"/>
            <w:vAlign w:val="bottom"/>
          </w:tcPr>
          <w:p w:rsidR="00EB68C8" w:rsidRPr="00EB68C8" w:rsidRDefault="00EB68C8">
            <w:pPr>
              <w:rPr>
                <w:lang w:val="en-US"/>
              </w:rPr>
            </w:pPr>
          </w:p>
        </w:tc>
      </w:tr>
      <w:tr w:rsidR="00EB68C8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15"/>
        </w:trPr>
        <w:tc>
          <w:tcPr>
            <w:tcW w:w="8663" w:type="dxa"/>
            <w:gridSpan w:val="3"/>
            <w:vMerge/>
            <w:shd w:val="clear" w:color="FFFFFF" w:fill="auto"/>
            <w:vAlign w:val="bottom"/>
          </w:tcPr>
          <w:p w:rsidR="00EB68C8" w:rsidRDefault="00EB68C8" w:rsidP="00B7538C">
            <w:pPr>
              <w:jc w:val="center"/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EB68C8" w:rsidRDefault="00EB68C8"/>
        </w:tc>
        <w:tc>
          <w:tcPr>
            <w:tcW w:w="1083" w:type="dxa"/>
            <w:shd w:val="clear" w:color="FFFFFF" w:fill="auto"/>
            <w:vAlign w:val="bottom"/>
          </w:tcPr>
          <w:p w:rsidR="00EB68C8" w:rsidRDefault="00EB68C8"/>
        </w:tc>
        <w:tc>
          <w:tcPr>
            <w:tcW w:w="1250" w:type="dxa"/>
            <w:shd w:val="clear" w:color="FFFFFF" w:fill="auto"/>
            <w:vAlign w:val="bottom"/>
          </w:tcPr>
          <w:p w:rsidR="00EB68C8" w:rsidRDefault="00EB68C8"/>
        </w:tc>
        <w:tc>
          <w:tcPr>
            <w:tcW w:w="1748" w:type="dxa"/>
            <w:shd w:val="clear" w:color="FFFFFF" w:fill="auto"/>
            <w:vAlign w:val="bottom"/>
          </w:tcPr>
          <w:p w:rsidR="00EB68C8" w:rsidRDefault="00EB68C8"/>
        </w:tc>
        <w:tc>
          <w:tcPr>
            <w:tcW w:w="1564" w:type="dxa"/>
            <w:shd w:val="clear" w:color="FFFFFF" w:fill="auto"/>
            <w:vAlign w:val="bottom"/>
          </w:tcPr>
          <w:p w:rsidR="00EB68C8" w:rsidRDefault="00EB68C8"/>
        </w:tc>
      </w:tr>
      <w:tr w:rsidR="00EB68C8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15"/>
        </w:trPr>
        <w:tc>
          <w:tcPr>
            <w:tcW w:w="8663" w:type="dxa"/>
            <w:gridSpan w:val="3"/>
            <w:vMerge/>
            <w:shd w:val="clear" w:color="FFFFFF" w:fill="auto"/>
            <w:vAlign w:val="bottom"/>
          </w:tcPr>
          <w:p w:rsidR="00EB68C8" w:rsidRDefault="00EB68C8" w:rsidP="00B7538C">
            <w:pPr>
              <w:jc w:val="center"/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EB68C8" w:rsidRDefault="00EB68C8"/>
        </w:tc>
        <w:tc>
          <w:tcPr>
            <w:tcW w:w="1083" w:type="dxa"/>
            <w:shd w:val="clear" w:color="FFFFFF" w:fill="auto"/>
            <w:vAlign w:val="bottom"/>
          </w:tcPr>
          <w:p w:rsidR="00EB68C8" w:rsidRDefault="00EB68C8"/>
        </w:tc>
        <w:tc>
          <w:tcPr>
            <w:tcW w:w="1250" w:type="dxa"/>
            <w:shd w:val="clear" w:color="FFFFFF" w:fill="auto"/>
            <w:vAlign w:val="bottom"/>
          </w:tcPr>
          <w:p w:rsidR="00EB68C8" w:rsidRDefault="00EB68C8"/>
        </w:tc>
        <w:tc>
          <w:tcPr>
            <w:tcW w:w="1748" w:type="dxa"/>
            <w:shd w:val="clear" w:color="FFFFFF" w:fill="auto"/>
            <w:vAlign w:val="bottom"/>
          </w:tcPr>
          <w:p w:rsidR="00EB68C8" w:rsidRDefault="00EB68C8"/>
        </w:tc>
        <w:tc>
          <w:tcPr>
            <w:tcW w:w="1564" w:type="dxa"/>
            <w:shd w:val="clear" w:color="FFFFFF" w:fill="auto"/>
            <w:vAlign w:val="bottom"/>
          </w:tcPr>
          <w:p w:rsidR="00EB68C8" w:rsidRDefault="00EB68C8"/>
        </w:tc>
      </w:tr>
      <w:tr w:rsidR="00EB68C8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15"/>
        </w:trPr>
        <w:tc>
          <w:tcPr>
            <w:tcW w:w="8663" w:type="dxa"/>
            <w:gridSpan w:val="3"/>
            <w:vMerge/>
            <w:shd w:val="clear" w:color="FFFFFF" w:fill="auto"/>
            <w:vAlign w:val="bottom"/>
          </w:tcPr>
          <w:p w:rsidR="00EB68C8" w:rsidRDefault="00EB68C8" w:rsidP="00B7538C">
            <w:pPr>
              <w:jc w:val="center"/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EB68C8" w:rsidRDefault="00EB68C8"/>
        </w:tc>
        <w:tc>
          <w:tcPr>
            <w:tcW w:w="1083" w:type="dxa"/>
            <w:shd w:val="clear" w:color="FFFFFF" w:fill="auto"/>
            <w:vAlign w:val="bottom"/>
          </w:tcPr>
          <w:p w:rsidR="00EB68C8" w:rsidRDefault="00EB68C8"/>
        </w:tc>
        <w:tc>
          <w:tcPr>
            <w:tcW w:w="1250" w:type="dxa"/>
            <w:shd w:val="clear" w:color="FFFFFF" w:fill="auto"/>
            <w:vAlign w:val="bottom"/>
          </w:tcPr>
          <w:p w:rsidR="00EB68C8" w:rsidRDefault="00EB68C8"/>
        </w:tc>
        <w:tc>
          <w:tcPr>
            <w:tcW w:w="1748" w:type="dxa"/>
            <w:shd w:val="clear" w:color="FFFFFF" w:fill="auto"/>
            <w:vAlign w:val="bottom"/>
          </w:tcPr>
          <w:p w:rsidR="00EB68C8" w:rsidRDefault="00EB68C8"/>
        </w:tc>
        <w:tc>
          <w:tcPr>
            <w:tcW w:w="1564" w:type="dxa"/>
            <w:shd w:val="clear" w:color="FFFFFF" w:fill="auto"/>
            <w:vAlign w:val="bottom"/>
          </w:tcPr>
          <w:p w:rsidR="00EB68C8" w:rsidRDefault="00EB68C8"/>
        </w:tc>
      </w:tr>
      <w:tr w:rsidR="00EB68C8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15"/>
        </w:trPr>
        <w:tc>
          <w:tcPr>
            <w:tcW w:w="8663" w:type="dxa"/>
            <w:gridSpan w:val="3"/>
            <w:vMerge/>
            <w:shd w:val="clear" w:color="FFFFFF" w:fill="auto"/>
            <w:vAlign w:val="bottom"/>
          </w:tcPr>
          <w:p w:rsidR="00EB68C8" w:rsidRDefault="00EB68C8" w:rsidP="00B7538C">
            <w:pPr>
              <w:jc w:val="center"/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EB68C8" w:rsidRDefault="00EB68C8"/>
        </w:tc>
        <w:tc>
          <w:tcPr>
            <w:tcW w:w="1083" w:type="dxa"/>
            <w:shd w:val="clear" w:color="FFFFFF" w:fill="auto"/>
            <w:vAlign w:val="bottom"/>
          </w:tcPr>
          <w:p w:rsidR="00EB68C8" w:rsidRDefault="00EB68C8"/>
        </w:tc>
        <w:tc>
          <w:tcPr>
            <w:tcW w:w="1250" w:type="dxa"/>
            <w:shd w:val="clear" w:color="FFFFFF" w:fill="auto"/>
            <w:vAlign w:val="bottom"/>
          </w:tcPr>
          <w:p w:rsidR="00EB68C8" w:rsidRDefault="00EB68C8"/>
        </w:tc>
        <w:tc>
          <w:tcPr>
            <w:tcW w:w="1748" w:type="dxa"/>
            <w:shd w:val="clear" w:color="FFFFFF" w:fill="auto"/>
            <w:vAlign w:val="bottom"/>
          </w:tcPr>
          <w:p w:rsidR="00EB68C8" w:rsidRDefault="00EB68C8"/>
        </w:tc>
        <w:tc>
          <w:tcPr>
            <w:tcW w:w="1564" w:type="dxa"/>
            <w:shd w:val="clear" w:color="FFFFFF" w:fill="auto"/>
            <w:vAlign w:val="bottom"/>
          </w:tcPr>
          <w:p w:rsidR="00EB68C8" w:rsidRDefault="00EB68C8"/>
        </w:tc>
      </w:tr>
      <w:tr w:rsidR="00EB68C8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15"/>
        </w:trPr>
        <w:tc>
          <w:tcPr>
            <w:tcW w:w="8663" w:type="dxa"/>
            <w:gridSpan w:val="3"/>
            <w:vMerge/>
            <w:shd w:val="clear" w:color="FFFFFF" w:fill="auto"/>
            <w:vAlign w:val="bottom"/>
          </w:tcPr>
          <w:p w:rsidR="00EB68C8" w:rsidRDefault="00EB68C8">
            <w:pPr>
              <w:jc w:val="center"/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EB68C8" w:rsidRDefault="00EB68C8"/>
        </w:tc>
        <w:tc>
          <w:tcPr>
            <w:tcW w:w="1083" w:type="dxa"/>
            <w:shd w:val="clear" w:color="FFFFFF" w:fill="auto"/>
            <w:vAlign w:val="bottom"/>
          </w:tcPr>
          <w:p w:rsidR="00EB68C8" w:rsidRDefault="00EB68C8"/>
        </w:tc>
        <w:tc>
          <w:tcPr>
            <w:tcW w:w="1250" w:type="dxa"/>
            <w:shd w:val="clear" w:color="FFFFFF" w:fill="auto"/>
            <w:vAlign w:val="bottom"/>
          </w:tcPr>
          <w:p w:rsidR="00EB68C8" w:rsidRDefault="00EB68C8"/>
        </w:tc>
        <w:tc>
          <w:tcPr>
            <w:tcW w:w="1748" w:type="dxa"/>
            <w:shd w:val="clear" w:color="FFFFFF" w:fill="auto"/>
            <w:vAlign w:val="bottom"/>
          </w:tcPr>
          <w:p w:rsidR="00EB68C8" w:rsidRDefault="00EB68C8"/>
        </w:tc>
        <w:tc>
          <w:tcPr>
            <w:tcW w:w="1564" w:type="dxa"/>
            <w:shd w:val="clear" w:color="FFFFFF" w:fill="auto"/>
            <w:vAlign w:val="bottom"/>
          </w:tcPr>
          <w:p w:rsidR="00EB68C8" w:rsidRDefault="00EB68C8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15"/>
        </w:trPr>
        <w:tc>
          <w:tcPr>
            <w:tcW w:w="686" w:type="dxa"/>
            <w:shd w:val="clear" w:color="FFFFFF" w:fill="auto"/>
            <w:vAlign w:val="bottom"/>
          </w:tcPr>
          <w:p w:rsidR="00EF6A16" w:rsidRDefault="00EF6A16"/>
        </w:tc>
        <w:tc>
          <w:tcPr>
            <w:tcW w:w="31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4829" w:type="dxa"/>
            <w:shd w:val="clear" w:color="FFFFFF" w:fill="auto"/>
            <w:vAlign w:val="bottom"/>
          </w:tcPr>
          <w:p w:rsidR="00EF6A16" w:rsidRDefault="00EF6A16"/>
        </w:tc>
        <w:tc>
          <w:tcPr>
            <w:tcW w:w="864" w:type="dxa"/>
            <w:shd w:val="clear" w:color="FFFFFF" w:fill="auto"/>
            <w:vAlign w:val="bottom"/>
          </w:tcPr>
          <w:p w:rsidR="00EF6A16" w:rsidRDefault="00EF6A16"/>
        </w:tc>
        <w:tc>
          <w:tcPr>
            <w:tcW w:w="1083" w:type="dxa"/>
            <w:shd w:val="clear" w:color="FFFFFF" w:fill="auto"/>
            <w:vAlign w:val="bottom"/>
          </w:tcPr>
          <w:p w:rsidR="00EF6A16" w:rsidRDefault="00EF6A16"/>
        </w:tc>
        <w:tc>
          <w:tcPr>
            <w:tcW w:w="1250" w:type="dxa"/>
            <w:shd w:val="clear" w:color="FFFFFF" w:fill="auto"/>
            <w:vAlign w:val="bottom"/>
          </w:tcPr>
          <w:p w:rsidR="00EF6A16" w:rsidRDefault="00EF6A16"/>
        </w:tc>
        <w:tc>
          <w:tcPr>
            <w:tcW w:w="17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1564" w:type="dxa"/>
            <w:shd w:val="clear" w:color="FFFFFF" w:fill="auto"/>
            <w:vAlign w:val="bottom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15"/>
        </w:trPr>
        <w:tc>
          <w:tcPr>
            <w:tcW w:w="686" w:type="dxa"/>
            <w:shd w:val="clear" w:color="FFFFFF" w:fill="auto"/>
            <w:vAlign w:val="bottom"/>
          </w:tcPr>
          <w:p w:rsidR="00EF6A16" w:rsidRDefault="00EF6A16"/>
        </w:tc>
        <w:tc>
          <w:tcPr>
            <w:tcW w:w="31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4829" w:type="dxa"/>
            <w:shd w:val="clear" w:color="FFFFFF" w:fill="auto"/>
            <w:vAlign w:val="bottom"/>
          </w:tcPr>
          <w:p w:rsidR="00EF6A16" w:rsidRDefault="00EF6A16"/>
        </w:tc>
        <w:tc>
          <w:tcPr>
            <w:tcW w:w="864" w:type="dxa"/>
            <w:shd w:val="clear" w:color="FFFFFF" w:fill="auto"/>
            <w:vAlign w:val="bottom"/>
          </w:tcPr>
          <w:p w:rsidR="00EF6A16" w:rsidRDefault="00EF6A16"/>
        </w:tc>
        <w:tc>
          <w:tcPr>
            <w:tcW w:w="1083" w:type="dxa"/>
            <w:shd w:val="clear" w:color="FFFFFF" w:fill="auto"/>
            <w:vAlign w:val="bottom"/>
          </w:tcPr>
          <w:p w:rsidR="00EF6A16" w:rsidRDefault="00EF6A16"/>
        </w:tc>
        <w:tc>
          <w:tcPr>
            <w:tcW w:w="1250" w:type="dxa"/>
            <w:shd w:val="clear" w:color="FFFFFF" w:fill="auto"/>
            <w:vAlign w:val="bottom"/>
          </w:tcPr>
          <w:p w:rsidR="00EF6A16" w:rsidRDefault="00EF6A16"/>
        </w:tc>
        <w:tc>
          <w:tcPr>
            <w:tcW w:w="17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1564" w:type="dxa"/>
            <w:shd w:val="clear" w:color="FFFFFF" w:fill="auto"/>
            <w:vAlign w:val="bottom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75"/>
        </w:trPr>
        <w:tc>
          <w:tcPr>
            <w:tcW w:w="11860" w:type="dxa"/>
            <w:gridSpan w:val="6"/>
            <w:shd w:val="clear" w:color="FFFFFF" w:fill="auto"/>
            <w:vAlign w:val="bottom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1564" w:type="dxa"/>
            <w:shd w:val="clear" w:color="FFFFFF" w:fill="auto"/>
            <w:vAlign w:val="bottom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75"/>
        </w:trPr>
        <w:tc>
          <w:tcPr>
            <w:tcW w:w="11860" w:type="dxa"/>
            <w:gridSpan w:val="6"/>
            <w:shd w:val="clear" w:color="FFFFFF" w:fill="auto"/>
            <w:vAlign w:val="bottom"/>
          </w:tcPr>
          <w:p w:rsidR="00EF6A16" w:rsidRDefault="00A9618A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1564" w:type="dxa"/>
            <w:shd w:val="clear" w:color="FFFFFF" w:fill="auto"/>
            <w:vAlign w:val="bottom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6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9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Бумага фильтровальная, листовая, марка "Ф", размер </w:t>
            </w:r>
            <w:r>
              <w:rPr>
                <w:rFonts w:ascii="Times New Roman" w:hAnsi="Times New Roman"/>
                <w:sz w:val="24"/>
                <w:szCs w:val="24"/>
              </w:rPr>
              <w:t>520 х 600 мм, вес упаковки 10 кг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Бумага фильтровальная, листовая, марка "Ф", ГОСТ 12026-76, размер 420*600 мм, вес упаковки 10 кг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Буфер промывающий для анализатора  ARCHITECT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975 мл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Промывающий буфер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Упаковка, </w:t>
            </w:r>
            <w:r>
              <w:rPr>
                <w:rFonts w:ascii="Times New Roman" w:hAnsi="Times New Roman"/>
                <w:sz w:val="24"/>
                <w:szCs w:val="24"/>
              </w:rPr>
              <w:t>содержащая 4 пластиковых флакона по 975 мл. Содержит  солевой раствор  фосфатного буфера. В качестве консервантов использованы антимикробные агенты. Применение - промывка системы   иммунохимического анализатора ARCHITECT.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6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Взвесь латексных </w:t>
            </w:r>
            <w:r>
              <w:rPr>
                <w:rFonts w:ascii="Times New Roman" w:hAnsi="Times New Roman"/>
                <w:sz w:val="24"/>
                <w:szCs w:val="24"/>
              </w:rPr>
              <w:t>частиц 1,5 мкм, флакон 10 мл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Взвесь латексных частиц диаметром 1,5 мкм для постановки реакции фагоцитоза, флакон 10 мл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Контроль IMMUNO-TROL (IMMUNO-TROL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2 флакона по 3мл (60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Суспензия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стибилизированных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эритроцитов и лейкоцитов для контроля качества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иммунофенотипического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и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(19 параметров) , лиофильно высушенный 2 флакона по 3 мл. На не менее 60 тестов.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5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Pr="009C7F0B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IgG1-FITC/IgG1-PE (NEG/CTRL. </w:t>
            </w:r>
            <w:proofErr w:type="spellStart"/>
            <w:r w:rsidRPr="00EB68C8">
              <w:rPr>
                <w:rFonts w:ascii="Times New Roman" w:hAnsi="Times New Roman"/>
                <w:sz w:val="24"/>
                <w:szCs w:val="24"/>
                <w:lang w:val="en-US"/>
              </w:rPr>
              <w:t>IgG</w:t>
            </w:r>
            <w:proofErr w:type="spellEnd"/>
            <w:r w:rsidRPr="009C7F0B">
              <w:rPr>
                <w:rFonts w:ascii="Times New Roman" w:hAnsi="Times New Roman"/>
                <w:sz w:val="24"/>
                <w:szCs w:val="24"/>
              </w:rPr>
              <w:t>1-</w:t>
            </w:r>
            <w:r w:rsidRPr="00EB68C8">
              <w:rPr>
                <w:rFonts w:ascii="Times New Roman" w:hAnsi="Times New Roman"/>
                <w:sz w:val="24"/>
                <w:szCs w:val="24"/>
                <w:lang w:val="en-US"/>
              </w:rPr>
              <w:t>FITC</w:t>
            </w:r>
            <w:r w:rsidRPr="009C7F0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68C8">
              <w:rPr>
                <w:rFonts w:ascii="Times New Roman" w:hAnsi="Times New Roman"/>
                <w:sz w:val="24"/>
                <w:szCs w:val="24"/>
                <w:lang w:val="en-US"/>
              </w:rPr>
              <w:t>IgG</w:t>
            </w:r>
            <w:proofErr w:type="spellEnd"/>
            <w:r w:rsidRPr="009C7F0B">
              <w:rPr>
                <w:rFonts w:ascii="Times New Roman" w:hAnsi="Times New Roman"/>
                <w:sz w:val="24"/>
                <w:szCs w:val="24"/>
              </w:rPr>
              <w:t>1-</w:t>
            </w:r>
            <w:r w:rsidRPr="00EB68C8">
              <w:rPr>
                <w:rFonts w:ascii="Times New Roman" w:hAnsi="Times New Roman"/>
                <w:sz w:val="24"/>
                <w:szCs w:val="24"/>
                <w:lang w:val="en-US"/>
              </w:rPr>
              <w:t>PE</w:t>
            </w:r>
            <w:r w:rsidRPr="009C7F0B">
              <w:rPr>
                <w:rFonts w:ascii="Times New Roman" w:hAnsi="Times New Roman"/>
                <w:sz w:val="24"/>
                <w:szCs w:val="24"/>
              </w:rPr>
              <w:t xml:space="preserve">) (50 </w:t>
            </w:r>
            <w:r>
              <w:rPr>
                <w:rFonts w:ascii="Times New Roman" w:hAnsi="Times New Roman"/>
                <w:sz w:val="24"/>
                <w:szCs w:val="24"/>
              </w:rPr>
              <w:t>тестов</w:t>
            </w:r>
            <w:r w:rsidRPr="009C7F0B">
              <w:rPr>
                <w:rFonts w:ascii="Times New Roman" w:hAnsi="Times New Roman"/>
                <w:sz w:val="24"/>
                <w:szCs w:val="24"/>
              </w:rPr>
              <w:t>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двойной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для определения неспецифического связывания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(негативный) контроль для двойной </w:t>
            </w:r>
            <w:r>
              <w:rPr>
                <w:rFonts w:ascii="Times New Roman" w:hAnsi="Times New Roman"/>
                <w:sz w:val="24"/>
                <w:szCs w:val="24"/>
              </w:rPr>
              <w:t>метки). Клон 679.1Мс7. На не менее 50 тестов.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Контроль негативный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Neg.Ctrl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Neg.Ctrl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Neg.Ctrl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c FITC/PE/ECD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Neg.Ctrl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.-FITC/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Neg.Ctrl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.-PE/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Neg.Ctrl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.-ECD) (25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тройной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для определения неспецифического связывания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(негативный) контроль). Клон 679.1Mc7/679.1Mc7/679.1Mc7. На не менее 25 тестов.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7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CD117 (PC 5) (100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5) для определения поверхностного антигена CD117 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</w:t>
            </w:r>
            <w:r>
              <w:rPr>
                <w:rFonts w:ascii="Times New Roman" w:hAnsi="Times New Roman"/>
                <w:sz w:val="24"/>
                <w:szCs w:val="24"/>
              </w:rPr>
              <w:t>ере содержащим 2 мг/мл бычьего сывороточного альбумина и  0.1% азида натрия. Клон 104D2D1.  1 флакон 1 мл. Флакон - 100 тестов.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1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CD138 (PC 5) (100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конъюгированныхс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одинарной </w:t>
            </w:r>
            <w:r>
              <w:rPr>
                <w:rFonts w:ascii="Times New Roman" w:hAnsi="Times New Roman"/>
                <w:sz w:val="24"/>
                <w:szCs w:val="24"/>
              </w:rPr>
              <w:t>флуоресцентной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5) для идентификации и определения 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CD138 антиген, в биологических образцах человека с помощью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Клон BB4. На не менее 100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антител CD14/CD13/CD45 (FITC/PE/ECD) (25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тройной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для идентификации и определения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CD14, CD13 и CD45 антиген</w:t>
            </w:r>
            <w:r>
              <w:rPr>
                <w:rFonts w:ascii="Times New Roman" w:hAnsi="Times New Roman"/>
                <w:sz w:val="24"/>
                <w:szCs w:val="24"/>
              </w:rPr>
              <w:t>ы. Клон RMO52/SJ1D1/J.33. На не менее 25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CD15/CD33/CD45 (FITC/PE/ECD) (25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тройной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для идентификации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определения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CD15, CD33 и CD45 антигены. Клон 80H5/D3HL60.251/J.33. На не мене 25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CD19 (ECD) (100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конъюгированныхс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одинарной флуоресцентной </w:t>
            </w:r>
            <w:r>
              <w:rPr>
                <w:rFonts w:ascii="Times New Roman" w:hAnsi="Times New Roman"/>
                <w:sz w:val="24"/>
                <w:szCs w:val="24"/>
              </w:rPr>
              <w:t>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для идентификации и определения 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CD19 антиген, в биологических образцах человека с помощью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Клон J4.119. На не менее 100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1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CD2 </w:t>
            </w:r>
            <w:r>
              <w:rPr>
                <w:rFonts w:ascii="Times New Roman" w:hAnsi="Times New Roman"/>
                <w:sz w:val="24"/>
                <w:szCs w:val="24"/>
              </w:rPr>
              <w:t>(PC 5) (100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конъюгированныхс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одинарной флуоресцентной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5) для идентификации и определения 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CD2 антиген, в биологических образцах человека с помощью проточной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Клон 39C1.5. На не менее 100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CD20/CD10/CD19 (FITC/PE/ECD) (25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тройной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идентификации и определения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CD20, CD10 и CD19 антигены. Клон B9E9/ALB1/J4.119. На не менее 25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5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CD3/CD19 (FITC/PE) (50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двойной меткой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идентификации и определения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CD3 и CD19 антигены. Клон UCHT1/J3-119. На не менее 50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CD34/CD117/CD45 (FITC/PE/ECD) (25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тройной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для идентификации и определения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CD34, CD117 и CD45 антигены. Клон 581/104D2D1/J33. На не менее 25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CD38/CD56/CD45 (FITC/PE/ECD) (25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тройной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для идентификации или определения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CD38, </w:t>
            </w:r>
            <w:r>
              <w:rPr>
                <w:rFonts w:ascii="Times New Roman" w:hAnsi="Times New Roman"/>
                <w:sz w:val="24"/>
                <w:szCs w:val="24"/>
              </w:rPr>
              <w:t>CD56 и CD45 антигены. Клон T16/N901/J.33. На не менее 25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CD41/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Glycophorin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A/CD45 (FITC/PE/ECD) (25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тройной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красный) для идентификации и определения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CD41, CD235a и CD45 антигены. Клон P2/1E4B-7-6/J.33. На не менее 25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 (ECD) (100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конъюгированныхс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одинарной флуоресцентной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для идентификации и определения 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CD45 антиген, в биологических образцах человека с помощью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Клон J.33. На не менее 100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1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 (РС 5) (100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конъюгированныхс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одинарной флуоресцентной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5) для идентификации и определения 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CD45 антиген, в биологических образцах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овека с помощью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Клон J.33. На не менее 100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CD5/CD10/CD19 (FITC/PE/ECD) (25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тройной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красный) для идентификации и определения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CD5, CD10 и CD19 антигены. Клон BL1a /ALB1/J4.119. На не менее 25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CD5/CD23/CD19 (FITC/PE/ECD) (25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</w:t>
            </w:r>
            <w:r>
              <w:rPr>
                <w:rFonts w:ascii="Times New Roman" w:hAnsi="Times New Roman"/>
                <w:sz w:val="24"/>
                <w:szCs w:val="24"/>
              </w:rPr>
              <w:t>тройной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для идентификации или определения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CD5, CD23 и CD19 антигены. Клон BL1a /9P25/J4.119. На не менее 25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антител CD5/CD7/CD3 (FITC/PE/ECD) (25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тройной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для идентификации и определения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CD5, CD7 и CD3 антигены. </w:t>
            </w:r>
            <w:r>
              <w:rPr>
                <w:rFonts w:ascii="Times New Roman" w:hAnsi="Times New Roman"/>
                <w:sz w:val="24"/>
                <w:szCs w:val="24"/>
              </w:rPr>
              <w:t>Клон BL1a/8H8.1/UCHT1. На не менее 25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CD79b (PE) (100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конъюгированныхс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одинарной флуоресцентной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идентификации и определения 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CD79b антиген, в биологических образцах человека с помощью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Клон HM47. На не менее 100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CD8/CD4/CD3 (FITC/PE/ECD) (25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тройной меткой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для идентификации и определения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CD8, CD4 и CD3 антигены. Клон B9.11/13В8.2/UCHT1. На не менее 25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/cCD79a/cCD3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(FITC/PE/ECD) (25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тройной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для идентификации и определения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Ccd79a и cCD3 антигены. Клон CLB-MPO-1/HM</w:t>
            </w:r>
            <w:r>
              <w:rPr>
                <w:rFonts w:ascii="Times New Roman" w:hAnsi="Times New Roman"/>
                <w:sz w:val="24"/>
                <w:szCs w:val="24"/>
              </w:rPr>
              <w:t>47/UCHT1. На не менее 25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FMC7/CD23/CD19 (FITC/PE/ECD) (25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тройной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для идентификации и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CDFMC7, CD23 и CD19 антигены. Клон FMC7/9P25/J4.119. На не менее 25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HLA-DR/CD34/CD45 (FITC/PE/ECD) (25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тройной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для идентификации и определения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HLA-DR, CD34 и CD45 антигены. Клон Immu-357/581/J.33. На не менее 25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Lambda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/CD19 </w:t>
            </w:r>
            <w:r>
              <w:rPr>
                <w:rFonts w:ascii="Times New Roman" w:hAnsi="Times New Roman"/>
                <w:sz w:val="24"/>
                <w:szCs w:val="24"/>
              </w:rPr>
              <w:t>(FITC/PE/ECD) (25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тройной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для идентификации и определения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Kappa,Lambda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CD19 антигены. Клон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Polyclonal-ka</w:t>
            </w:r>
            <w:r>
              <w:rPr>
                <w:rFonts w:ascii="Times New Roman" w:hAnsi="Times New Roman"/>
                <w:sz w:val="24"/>
                <w:szCs w:val="24"/>
              </w:rPr>
              <w:t>ppa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Polyclonal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lambda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/J4.119. На не менее 25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1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Neg.Ctrl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Neg.Ctrl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./CD19 (FITC/PE/ECD) (25 тестов)</w:t>
            </w:r>
            <w:r w:rsidR="009C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F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тройной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</w:t>
            </w:r>
            <w:r>
              <w:rPr>
                <w:rFonts w:ascii="Times New Roman" w:hAnsi="Times New Roman"/>
                <w:sz w:val="24"/>
                <w:szCs w:val="24"/>
              </w:rPr>
              <w:t>для определения неспецифического связывания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(негативный) контроль) и для идентификации и определения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CD19. Клон 679.1Mc7/679.1Mc7/J4.119. На не менее 25 тестов.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44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Материал контрольный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Ликвичек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 "Иммунохимия плюс", уровень 1 (12 х 5 мл)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и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иммунохимическими методами. Основа - человеческая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сыворотка. Жидкая форма выпуска. Уровень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низкий. Фасовка: 12 флаконов по 5 мл. Возможность работы на анализаторах различных производителей. Срок годности закрытой упаковки - не менее 2 лет с момента производства. Стабильность после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вскрытия флакона - не менее 14 дней при условии хранения при температуре от 2 до 8° С. Включает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следуюшего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списка показателей: 11-деоксикортизол, 17-OH-прогестерон, 25-OH-витамин 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ацетаминофен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АКТГ,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альфафетопротеин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(АФП), альдостерон,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амиодарон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амитриптилин,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андростендион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ангиотензин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I,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кофеин,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карбамазепин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раковоэмбриональный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 (РЭА),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кортизол, C-пептид,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дезипрами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дегидроэпиандростерон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(ДГЭА),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дегидроэпиандростеронсульфат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(ДГЭА-С),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дигоксин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дизопирамид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эстрадиол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общий, эстрогены общие,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этосуксимид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флекаинид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фруктозамин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фолликулостимулирующий гормон (ФСГ),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гентамицин, глюкагон, хорионический гонадотропин (ХГЧ), свободная бета-субъединица ХГЧ, гормон роста,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имипрамин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иммунореактивный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трипсиноген, инсулин, железо,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 (ЛГ),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лидокаин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литий, NAPA,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нетимицин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нортриптилин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простатическая кислая фосфатаза,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фенобарбитал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пиримидон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прокаинамид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прогестерон, пролактин,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пропанолол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простатаспецифический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 (ПСА) , ПСА свободный, паратиреоидный гормон,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салицилат,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сексстероидсвязывающий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глобулин,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соматомедин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-C (инсулиноподобный фактор роста 1),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 (Т3 свободный),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общий (Т3), тироксинсвязывающая способность T3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Uptake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тироксин свободный (Т4 свободный), тироксин общий (Т4), тироксинсвязывающий глобулин,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стостерон, тестостерон свободный, теофиллин,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тиреотропный гормон (ТТГ),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 свободная,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витамин B12.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44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Материал контрольный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Ликвичек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 "Иммунохимия плюс", уровень 2 (12 х 5 мл)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и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иммунохимическими методами. Основа - человеческая сыво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ротка. Жидкая форма выпуска. Уровень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нормальный. Фасовка: 12 флаконов по 5 мл. Возможность работы на анализаторах различных производителей. Срок годности закрытой упаковки - не менее 2 лет с момента производства. Стабильность после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вскрытия флакона - не менее 14 дней при условии хранения при температуре от 2 до 8° С. Включает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следуюшего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списка показателей: 11-деоксикортизол, 17-OH-прогестерон, 25-OH-витамин 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ацетаминофен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АКТГ,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альфафетопротеин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(АФП), альдостерон,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амиодарон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амитриптилин,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андростендион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ангиотензин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I,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кофеин,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карбамазепин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раковоэмбриональный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 (РЭА),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кортизол, C-пептид,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дезипрами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дегидроэпиандростерон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(ДГЭА),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дегидроэпиандростеронсульфат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(ДГЭА-С),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дигоксин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дизопирамид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эстрадиол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общий, эстрогены общие,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этосуксимид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флекаинид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фруктозамин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фолликулостимулирующий гормон (ФСГ),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гентамицин, глюкагон, хорионический гонадотропин (ХГЧ), свободная бета-субъединица ХГЧ, гормон роста,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имипрамин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иммунореактивный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трипсиноген, инсулин, железо,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 (ЛГ),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лидокаин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литий, NAPA,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нетимицин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нортриптилин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простатическая кислая фосфатаза,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фенобарбитал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пиримидон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прокаинамид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прогестерон, пролактин,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пропанолол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простатаспецифический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 (ПСА) , ПСА свободный, паратиреоидный гормон,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салицилат,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сексстероидсвязывающий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глобулин,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соматомедин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-C (инсулиноподобный фактор роста 1),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 (Т3 свободный),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общий (Т3), тироксинсвязывающая способность T3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Uptake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тироксин свободный (Т4 свободный), тироксин общий (Т4), тироксинсвязывающий глобулин,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стостерон, тестостерон свободный, теофиллин,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тиреотропный гормон (ТТГ),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 свободная,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витамин B12.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44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Материал контрольный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Ликвичек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 "Иммунохимия плюс", уровень 3 (12 х 5 мл)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и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иммунохимическими методами. Основа - человеческая сыво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ротка. Жидкая форма выпуска. Уровень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высокий. Фасовка: 12 флаконов по 5 мл. Возможность работы на анализаторах различных производителей. Срок годности закрытой упаковки - не менее 2 лет с момента производства. Стабильность после 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рытия флакона - не менее 14 дней при условии хранения при температуре от 2 до 8° С. Включает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следуюшего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списка показателей: 11-деоксикортизол, 17-OH-прогестерон, 25-OH-витамин 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ацетаминофен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АКТГ,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альфафетопротеин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(АФП), альдостерон,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миодарон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амитриптилин,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андростендион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ангиотензин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I,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кофеин,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карбамазепин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раковоэмбриональный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 (РЭА),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кортизол, C-пептид,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дезипрамин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дегидроэпиандростерон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(ДГЭА),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дегидроэпиандростеронсульфат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(ДГЭА-С),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дигоксин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дизопирамид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эстрадиол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общий, эстрогены общие,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этосуксимид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флекаинид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фруктозамин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фолликулостимулирующий гормон (ФСГ),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нтамицин, глюкагон, хорионический гонадотропин (ХГЧ), свободная бета-субъединица ХГЧ, гормон роста,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имипрамин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иммунореактивный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трипсиноген, инсулин, железо,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 (ЛГ),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лидокаин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литий, NAPA,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нетимицин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нортриптилин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статическая кислая фосфатаза,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фенобарбитал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пиримидон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прокаинамид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прогестерон, пролактин,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пропанолол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простатаспецифический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 (ПСА) , ПСА свободный, паратиреоидный гормон,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салицилат,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сексстероидсвязывающий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соматомедин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-C (инсулиноподобный фактор роста 1),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 (Т3 свободный),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общий (Т3), тироксинсвязывающая способность T3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Uptake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тироксин свободный (Т4 свободный), тироксин общий (Т4), тироксинсвязывающий глобулин, тесто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стерон, тестостерон свободный, теофиллин,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тиреотропный гормон (ТТГ),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 свободная,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витамин B12.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4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гликозилированного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гемоглобина А1с на анализаторе D10 (400 определений)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В набор входит: 1. Набор калибраторов для калибровки прибора для работы с данным комплектом.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расконсервации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колонки, в отдельной коробке 4 бутыли. 3. Аналитическая коло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нка в конверте с аннотацией. 4. Дискета с программой в твердом конверте. 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100 шт. в пакете для калибраторов, контролей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разведенных образцов. 6. Рабочий буфер № 1, (2 бутыли по 2л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6.0). 7. Рабочий бу</w:t>
            </w:r>
            <w:r>
              <w:rPr>
                <w:rFonts w:ascii="Times New Roman" w:hAnsi="Times New Roman"/>
                <w:sz w:val="24"/>
                <w:szCs w:val="24"/>
              </w:rPr>
              <w:t>фер № 2, (1 бутыль содержащая 1л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6.7). 8. Раствор для промывки и разведения (1 бутыль содержащая 1,6 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деионизированной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 с консервантом). 9. Компакт-диск с инструкцией к набору на европейских языках. 10. Рулон термобумаги.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5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4 мл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 ARCHITECT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 в сыворотке и плазме крови человека.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Кортизола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4 мл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 </w:t>
            </w:r>
            <w:r>
              <w:rPr>
                <w:rFonts w:ascii="Times New Roman" w:hAnsi="Times New Roman"/>
                <w:sz w:val="24"/>
                <w:szCs w:val="24"/>
              </w:rPr>
              <w:t>ARCHITECT при количественном определении кортизола в сыворотке и плазме крови и моче человека.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4 мл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 ARCHITECT при определении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сыворотке и плазме крови человека.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Пролактина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4 мл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Калибраторы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 ARCHITECT при определении пролактина в сыворотке и плазме крови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С-пептида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4 мл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 ARCHITECT при количественном определении С-пептида в сыворотке и плазме крови человека.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свободного Тироксина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4 мл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Набор из 6-ти флаконов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 ARCHITECT при определении свободного тироксина в сыворотке и плазме крови человека.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Териотропного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4 мл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2-х флаконов по 4 мл. Калибратор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 ARCHITECT при определении тиреотропного гормона в сыворотке и плазме крови человека.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Тестостерона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sz w:val="24"/>
                <w:szCs w:val="24"/>
              </w:rPr>
              <w:t>2 мл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2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 ARCHITECT при определении тестостерона в сыворотке и плазме крови человека.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Паратиреоидного гормона (100 определений)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реагентов ARCHITECT для определения Кортизола (100 определений)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кортизола в сыворотке и плазме крови и моче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реагентов ARCHITECT для определения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(100 определений)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 не менее 100 определений.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9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Пролактина (100 определений)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пролактина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r>
              <w:rPr>
                <w:rFonts w:ascii="Times New Roman" w:hAnsi="Times New Roman"/>
                <w:sz w:val="24"/>
                <w:szCs w:val="24"/>
              </w:rPr>
              <w:t>ARCHITECT для определения С-пептида (100 определений)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С-пептида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r>
              <w:rPr>
                <w:rFonts w:ascii="Times New Roman" w:hAnsi="Times New Roman"/>
                <w:sz w:val="24"/>
                <w:szCs w:val="24"/>
              </w:rPr>
              <w:t>ARCHITECT для определения свободного Тироксина (100 определений)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свободного тироксина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Териотропного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 (100 определений)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 тиреотропного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9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реагентов ARCHITECT для определения Тестостерона (100 определений)</w:t>
            </w:r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тестостерона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полимерный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Сайентифик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для 1-канального дозатора (0,5-250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A1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F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штук в упаковке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полимерный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Сайентифик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для 1-канального дозатора (100-1000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100 - 1000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5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полимерный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Сайентифик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для 1-канального дозатора (5-300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5 - 300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5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Пробирка многоцелевая полипропиленовая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Многоцелевые </w:t>
            </w:r>
            <w:r>
              <w:rPr>
                <w:rFonts w:ascii="Times New Roman" w:hAnsi="Times New Roman"/>
                <w:sz w:val="24"/>
                <w:szCs w:val="24"/>
              </w:rPr>
              <w:t>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с делением  (500 штук в упаковке)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9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Раствор изотонический ISOTON II, 20 л (ISOTON II, 20L)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гидравлической системы проточного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л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однокомпанентный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100 мл, на 200 тестов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Lysing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Состоит из 1 флакона 100 мл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раствора. Содержит буферный раствор содержащий не менее 1.5% формальдегида.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Пре-триггера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975 мл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Раствор перекиси водорода в концентрации 1,32%, в упаковке 4 флаконов объемом 1л.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 автоматическим анализатором  ARCHITECT i1000sr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Триггера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975 мл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гидроксида натрия  в концентрации 1,4%, в </w:t>
            </w:r>
            <w:r>
              <w:rPr>
                <w:rFonts w:ascii="Times New Roman" w:hAnsi="Times New Roman"/>
                <w:sz w:val="24"/>
                <w:szCs w:val="24"/>
              </w:rPr>
              <w:t>упаковке 4 флаконов объемом 1л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 автоматическим анализатором  ARCHITECT i1000sr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2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для ухода за зондом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25 мл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из 4-х флаконов по 25 мл. Кондиционирующий раствор для обработки внутренних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игл, содержит 2%-й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тетраэтиламмонийгидроксида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6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Реагент промывающий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Clenz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 л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промывки гидравлической системы проточного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цитометра</w:t>
            </w:r>
            <w:proofErr w:type="spellEnd"/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1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Реактив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лейкоцитов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Permeabilization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Reagent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150 тестов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подготовки биологических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образцов,состоит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двух готовых к употреблению реактивов, которые увеличивают проницаемость плазматической мембраны лейкоцитов, что позволяет определять внутриклеточные антигенные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етерминанты с помощью флуоресцирующих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антител,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не менее 150 тестов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6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Стекло покровное 22 х 22 мм №100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Стекло покровное 22*22 мм, 100 штук в упаковке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4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сиcтема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подтверждения е-антигена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более  2,5 часов общего времени </w:t>
            </w:r>
            <w:r>
              <w:rPr>
                <w:rFonts w:ascii="Times New Roman" w:hAnsi="Times New Roman"/>
                <w:sz w:val="24"/>
                <w:szCs w:val="24"/>
              </w:rPr>
              <w:t>инкубации. Стабильность приготовленных реагентов  не менее 3 часов. Цветовая кодировка реагентов. Наличие унифицированных неспецифических реагентов. Срок годности тест-системы от 12 до 18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66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антител к вирусу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гепатита C в сыворотке (плазме) крови человека, 480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480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–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Диагностическая чувствительность не менее  99,5% Специфичность, оцененная на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зцах сывороток доноров (не менее 5000 чел),  не менее 99,5% Подтвержденная способность теста достоверно выявлять антитела ко всем известным генотипам вируса Время анализа не более  2 часов общего времени инкубации Стабильность приготовленных реагентов 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этапов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</w:t>
            </w:r>
            <w:r>
              <w:rPr>
                <w:rFonts w:ascii="Times New Roman" w:hAnsi="Times New Roman"/>
                <w:sz w:val="24"/>
                <w:szCs w:val="24"/>
              </w:rPr>
              <w:t>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включая: автоматизированное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 штрих-кода на ре</w:t>
            </w:r>
            <w:r>
              <w:rPr>
                <w:rFonts w:ascii="Times New Roman" w:hAnsi="Times New Roman"/>
                <w:sz w:val="24"/>
                <w:szCs w:val="24"/>
              </w:rPr>
              <w:t>агентах Срок годности  тест-системы  не менее 18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1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выявления антител класса G к вирусу простого герпеса в сыворотке и плазме крови человека,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Время инкубации не более 1ч. Срок годности  тест-системы  от 12 до 18 месяцев. Наличие унифицированных неспецифических реагентов. Срок хранения тест-системы  после вскрытия  не менее 6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4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выявления антител класса G к е-антигену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</w:t>
            </w:r>
            <w:r>
              <w:rPr>
                <w:rFonts w:ascii="Times New Roman" w:hAnsi="Times New Roman"/>
                <w:sz w:val="24"/>
                <w:szCs w:val="24"/>
              </w:rPr>
              <w:t>анализа не более  2,5 часов общего времени инкубации. Стабильность приготовленных реагентов  не менее 3 часов. Цветовая кодировка реагентов. Наличие унифицированных неспецифических реагентов. Срок годности  тест-системы не менее 9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1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выявления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 инкубации не более 1ч. Срок годности  тест-системы  от 12 до 18 месяцев. Наличие унифицированных неспецифических реагентов. Срок хранения тест-системы  после вскрытия  не менее 6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1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антител класса G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раннему антигену (ЕА)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- 96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Время инкубации не более 1ч. Срок годности  тес</w:t>
            </w:r>
            <w:r>
              <w:rPr>
                <w:rFonts w:ascii="Times New Roman" w:hAnsi="Times New Roman"/>
                <w:sz w:val="24"/>
                <w:szCs w:val="24"/>
              </w:rPr>
              <w:t>т-системы  от 12 до 18 месяцев. Наличие унифицированных неспецифических реагентов. Срок хранения тест-системы  после вскрытия  не менее 6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1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антител класса G к ядерному антигену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сыворотке (плазме) крови человека,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Время инкубации не более 1ч. Срок годности  тест-системы  от 12 до 18 месяцев. Наличие унифици</w:t>
            </w:r>
            <w:r>
              <w:rPr>
                <w:rFonts w:ascii="Times New Roman" w:hAnsi="Times New Roman"/>
                <w:sz w:val="24"/>
                <w:szCs w:val="24"/>
              </w:rPr>
              <w:t>рованных неспецифических реагентов. Срок хранения тест-системы  после вскрытия  не менее 6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выявления антител класса M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-антигену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не менее  96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Количество анализируемого образца  не более 100мкл. Время анализа не более  2,5 часов общего времени инкубации. Наличие унифицированных неспецифических реагентов. Срок годности тест-системы  12 до 18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1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выявления антител класса М к вирусу простого герпеса 1 и 2 типов в сыворотке и плазме крови человека,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Время инкубации не более 1ч. Срок годности  тест-системы  от 12 до 18 месяцев. Наличие унифицированных неспецифических реагентов. Срок хранения тест-системы  после вскрытия  не менее 6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1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выявления антител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r>
              <w:rPr>
                <w:rFonts w:ascii="Times New Roman" w:hAnsi="Times New Roman"/>
                <w:sz w:val="24"/>
                <w:szCs w:val="24"/>
              </w:rPr>
              <w:t>годности  тест-системы  от 12 до 18 месяцев. Наличие унифицированных неспецифических реагентов. Срок хранения тест-системы  после вскрытия  не менее 6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1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выявления антител 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плазме крови человека,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Время инкубации не более 1ч. Срок годности  тест-системы  от 12 до 18 месяцев. Наличие унифицированных нес</w:t>
            </w:r>
            <w:r>
              <w:rPr>
                <w:rFonts w:ascii="Times New Roman" w:hAnsi="Times New Roman"/>
                <w:sz w:val="24"/>
                <w:szCs w:val="24"/>
              </w:rPr>
              <w:t>пецифических реагентов. Срок хранения тест-системы  после вскрытия  не менее 6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66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и подтверждения поверхностного антигена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человека, 48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1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F1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теста – не менее 48 анализов (8х12,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-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исследуемой сыворотке (плазме) крови Минимальная выявляемая концентрация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Специфичность при обследовании контингента доноров (не менее 5000 образцов) – не менее 99,5% Время инкубации не более 2 ч общего времени инкубации Стабильность приготовленных реагентов  не менее 6 часов при  комнатной температуре Цветовая кодировка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еагентов Наличие унифицированных неспецифических реагентов Наличие спектрофотометрической верификации на этапах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»), </w:t>
            </w:r>
            <w:r>
              <w:rPr>
                <w:rFonts w:ascii="Times New Roman" w:hAnsi="Times New Roman"/>
                <w:sz w:val="24"/>
                <w:szCs w:val="24"/>
              </w:rPr>
              <w:t>включая: автоматизированное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66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поверхностного антигена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человека, 480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1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1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480 анализов (96х5,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-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исследуемой сыворотке (плазме) крови Минимальная выявляемая концентрация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Специфичность при обследовании контингента доноров (не менее 5000 образцов) – не менее 99,5%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инкубации не более 2 ч общего времени инкубации Стабильность приготовленных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этапах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включая: автоматизированное распознавание и внесение образцов; автоматизированное распознавание и внесени</w:t>
            </w:r>
            <w:r>
              <w:rPr>
                <w:rFonts w:ascii="Times New Roman" w:hAnsi="Times New Roman"/>
                <w:sz w:val="24"/>
                <w:szCs w:val="24"/>
              </w:rPr>
              <w:t>е реагентов; промывку;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4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выявления суммарных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-антигену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сыворотке (плазме) крови человека,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1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1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анализов, 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Количество анализируемого образца  не более 100мкл. Время анализа не более  2 часов общего времени инкубации. Цветовая кодировка реагентов. Стабиль</w:t>
            </w:r>
            <w:r>
              <w:rPr>
                <w:rFonts w:ascii="Times New Roman" w:hAnsi="Times New Roman"/>
                <w:sz w:val="24"/>
                <w:szCs w:val="24"/>
              </w:rPr>
              <w:t>ность приготовленных реагентов не менее 3 часов. Наличие унифицированных неспецифических реагентов. Срок годности тест-системы не менее 9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4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выявления суммарных антител к вирусу гепатита Дельта в сыворотке (плазме)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крови человека,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1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1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Время анализа не более  2 часов общего времени инкубации. Стабильность приготовленных реагентов  не менее 3 часов пр</w:t>
            </w:r>
            <w:r>
              <w:rPr>
                <w:rFonts w:ascii="Times New Roman" w:hAnsi="Times New Roman"/>
                <w:sz w:val="24"/>
                <w:szCs w:val="24"/>
              </w:rPr>
              <w:t>и  комнатной температуре. Цветовая кодировка реагентов. Наличие унифицированных неспецифических реагентов. Срок годности тест-системы от 12 до 18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45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идентификации спектра антител класса G и M к индивид. белкам вируса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гепатита С в сыворотке (плазме) крови человека,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1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1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 не менее 24х5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Способность тест-системы подтверждать положительные результаты, полученные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тест-системе (тов. позиция №9) Цветовая марк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соответствующая  сорбированному антигену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Диагностическая чувствительность не менее 99,5% Диагностическая специфичность не менее 99,5% Подтвержденная способность теста достоверно выявлять ан</w:t>
            </w:r>
            <w:r>
              <w:rPr>
                <w:rFonts w:ascii="Times New Roman" w:hAnsi="Times New Roman"/>
                <w:sz w:val="24"/>
                <w:szCs w:val="24"/>
              </w:rPr>
              <w:t>титела ко всем известным генотипам вируса Время анализа  не более 2-х часов общего времени инкубации Цветовая кодировка реагентов Наличие унифицированных неспецифических реагентов Срок годности  тест-системы  от 12 до 18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1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Тест-система для качественного и количеств-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человека,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1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1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Время инкубации не более 1ч. Срок годности  тест-системы  от 12 до 18 месяцев. Наличие унифицированных неспецифических реагентов. Срок хранения тест-системы  после вскрытия  не менее 6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4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качественного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количественного определения антител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1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1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Время анализа не более  2 часов общего времени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инкубации. Стабильность приготовленных реагентов  не менее 6 часов при  комнатной температуре. Цветовая кодировка реагентов. Наличие унифицированных неспецифических реагентов. Срок годности тест-системы от 12 до 18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7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общего иммуноглобулина Е в сыворотке (плазме) крови человека,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1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1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–не менее 96 (48 в дублях) определений, (6х8,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–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Чувствительн</w:t>
            </w:r>
            <w:r>
              <w:rPr>
                <w:rFonts w:ascii="Times New Roman" w:hAnsi="Times New Roman"/>
                <w:sz w:val="24"/>
                <w:szCs w:val="24"/>
              </w:rPr>
              <w:t>ость теста – не менее 2,5 МЕ/мл. Время инкубации не более  45 мин. Срок годности  тест-системы  от 12 до 18 месяцев. Наличие унифицированных неспецифических реагентов. Срок хранения тест-системы  после вскрытия  не менее 6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6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количественного определения общего простата-специфического антигена (ПСА общий) в сыворотке крови человека,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1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1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разборный до 1 лунки. Режим инкубации – при комнатной температуре без встряхивания. Объем сыворот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для исследования не более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Диапазон определения концентраций не менее 0-45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Наличие унифицированных неспецифических компонентов. Спектрофотометрический  контроль  внесения сывороток и реагентов при постановке т/с на автоматических ИФА-анал</w:t>
            </w:r>
            <w:r>
              <w:rPr>
                <w:rFonts w:ascii="Times New Roman" w:hAnsi="Times New Roman"/>
                <w:sz w:val="24"/>
                <w:szCs w:val="24"/>
              </w:rPr>
              <w:t>изаторах. Возможность дробного использования набора после первого вскрытия компонентов не менее 2-х месяцев. Срок годности набора не менее18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0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количественного определения свободного простата-специфического антигена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(ПСА свободный) в сыворотке крови человека,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1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1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разборный до 1 лунки. Объем сыворотки для исследования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Режим инкубации – при 37 0С без встряхивания. Наличие унифицированных неспецифических компонентов. Спектр</w:t>
            </w:r>
            <w:r>
              <w:rPr>
                <w:rFonts w:ascii="Times New Roman" w:hAnsi="Times New Roman"/>
                <w:sz w:val="24"/>
                <w:szCs w:val="24"/>
              </w:rPr>
              <w:t>офотометрический  контроль  внесения сывороток и реагентов при постановке т/с на автоматических ИФА-анализаторах. Возможность дробного использования набора после первого вскрытия компонентов не менее 2-х месяцев. Срок годности набора не менее 18 месяцев.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определения концентрации общего иммуноглобулина класса A в сыворотке крови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1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1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Для количественного определения концентрации общего иммуноглобулина класса А. Формат теста - не менее 96 определений (8×12,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 промежутка) от 0 до 4,2 мг/мл. Чувствительность не более - 0,03 мг/мл. Время инкубации: не более 2,5 часов.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определения концентрации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общего иммуноглобулина класса G в сыворотке крови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1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1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концентрации общего иммуноглобулина класса G.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 пр</w:t>
            </w:r>
            <w:r>
              <w:rPr>
                <w:rFonts w:ascii="Times New Roman" w:hAnsi="Times New Roman"/>
                <w:sz w:val="24"/>
                <w:szCs w:val="24"/>
              </w:rPr>
              <w:t>омежутка) от 0 до 24 мг/мл. Чувствительность не более - 0,2 мг/мл. Время инкубации: не более 2,5 часов.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8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определения концентрации общего иммуноглобулина класса M в сыворотке крови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1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1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количественного определения концентрации общего иммуноглобулина класса M.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 промежутка) от 0 до 3,2 мг/мл. Чувствительность не более - 0,05 мг</w:t>
            </w:r>
            <w:r>
              <w:rPr>
                <w:rFonts w:ascii="Times New Roman" w:hAnsi="Times New Roman"/>
                <w:sz w:val="24"/>
                <w:szCs w:val="24"/>
              </w:rPr>
              <w:t>/мл. Время инкубации: не более 2,5 часов.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87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моче №96</w:t>
            </w:r>
            <w:r w:rsidR="00BC1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1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моче.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96-луночный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разделяемыми на отдельные лунки. Тип анализа: количественный (по 6 калибраторам). Исследуемый образец: моча. Время и условия инкубации 15+30+15+15 мин. при комнатной температуре, со встряхиванием. Характеристика реагентов – полност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ью готовые к применению (промывочный буфер и раствор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концентраты). Количество и характеристика калибраторов: 6, жидкие, готовые к применению, диапазон концентраций от 0 до 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от 0 до 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 Объ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исследуемого образца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Разведение образца не требуется. Наличие в наборе двухуровневого контроля. Длина волны считывания –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Объем компонентов набора: калибраторы A-F 6х2 мл; контроли 2х2 мл; ферментный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2х12 мл; концентрат буфера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промывки 1х20 мл (на 1000 мл готового буфера); субстрат 2х12 мл; стоп-реагент 2х12мл;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антисыворотка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антисыворотка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концентрат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реагента 1х0,5 мл; раствор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реагента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х4 мл, раствор соляной кислоты 1х30 мл,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 1х30 мл. Дополнительные устройства, входящие в набор: реакционные пробирки 2х50 шт. Аналитическая чувствительность тест-системы не менее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не менее 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Рег</w:t>
            </w:r>
            <w:r>
              <w:rPr>
                <w:rFonts w:ascii="Times New Roman" w:hAnsi="Times New Roman"/>
                <w:sz w:val="24"/>
                <w:szCs w:val="24"/>
              </w:rPr>
              <w:t>истрация тест-систем в Росздравнадзоре.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400, 50 г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400S, 50грамм/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9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>Ячейки реакционные для анализатора ARCHITECT №4000</w:t>
            </w:r>
            <w:r w:rsidR="00BC1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10B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r>
              <w:rPr>
                <w:rFonts w:ascii="Times New Roman" w:hAnsi="Times New Roman"/>
                <w:sz w:val="24"/>
                <w:szCs w:val="24"/>
              </w:rPr>
              <w:t xml:space="preserve">Ячейки для проведения реакции на анализаторах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В одной упаковке не менее 4000 штук.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A961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  <w:tc>
          <w:tcPr>
            <w:tcW w:w="1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705"/>
        </w:trPr>
        <w:tc>
          <w:tcPr>
            <w:tcW w:w="11860" w:type="dxa"/>
            <w:gridSpan w:val="6"/>
            <w:shd w:val="clear" w:color="FFFFFF" w:fill="auto"/>
            <w:vAlign w:val="bottom"/>
          </w:tcPr>
          <w:p w:rsidR="00EF6A16" w:rsidRDefault="00EF6A16"/>
        </w:tc>
        <w:tc>
          <w:tcPr>
            <w:tcW w:w="17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1564" w:type="dxa"/>
            <w:shd w:val="clear" w:color="FFFFFF" w:fill="auto"/>
            <w:vAlign w:val="bottom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6A16" w:rsidRDefault="00A9618A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75"/>
        </w:trPr>
        <w:tc>
          <w:tcPr>
            <w:tcW w:w="11860" w:type="dxa"/>
            <w:gridSpan w:val="6"/>
            <w:shd w:val="clear" w:color="FFFFFF" w:fill="auto"/>
            <w:vAlign w:val="bottom"/>
          </w:tcPr>
          <w:p w:rsidR="00EF6A16" w:rsidRDefault="00A9618A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1564" w:type="dxa"/>
            <w:shd w:val="clear" w:color="FFFFFF" w:fill="auto"/>
            <w:vAlign w:val="bottom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55"/>
        </w:trPr>
        <w:tc>
          <w:tcPr>
            <w:tcW w:w="15172" w:type="dxa"/>
            <w:gridSpan w:val="8"/>
            <w:vMerge w:val="restart"/>
            <w:shd w:val="clear" w:color="FFFFFF" w:fill="auto"/>
            <w:vAlign w:val="bottom"/>
          </w:tcPr>
          <w:p w:rsidR="00EF6A16" w:rsidRDefault="00A9618A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50"/>
        </w:trPr>
        <w:tc>
          <w:tcPr>
            <w:tcW w:w="15172" w:type="dxa"/>
            <w:gridSpan w:val="8"/>
            <w:vMerge/>
            <w:shd w:val="clear" w:color="FFFFFF" w:fill="auto"/>
            <w:vAlign w:val="bottom"/>
          </w:tcPr>
          <w:p w:rsidR="00EF6A16" w:rsidRDefault="00A9618A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6A16" w:rsidRDefault="00A9618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25"/>
        </w:trPr>
        <w:tc>
          <w:tcPr>
            <w:tcW w:w="686" w:type="dxa"/>
            <w:shd w:val="clear" w:color="FFFFFF" w:fill="auto"/>
            <w:vAlign w:val="bottom"/>
          </w:tcPr>
          <w:p w:rsidR="00EF6A16" w:rsidRDefault="00EF6A16"/>
        </w:tc>
        <w:tc>
          <w:tcPr>
            <w:tcW w:w="31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4829" w:type="dxa"/>
            <w:shd w:val="clear" w:color="FFFFFF" w:fill="auto"/>
            <w:vAlign w:val="bottom"/>
          </w:tcPr>
          <w:p w:rsidR="00EF6A16" w:rsidRDefault="00EF6A16"/>
        </w:tc>
        <w:tc>
          <w:tcPr>
            <w:tcW w:w="864" w:type="dxa"/>
            <w:shd w:val="clear" w:color="FFFFFF" w:fill="auto"/>
            <w:vAlign w:val="bottom"/>
          </w:tcPr>
          <w:p w:rsidR="00EF6A16" w:rsidRDefault="00EF6A16"/>
        </w:tc>
        <w:tc>
          <w:tcPr>
            <w:tcW w:w="1083" w:type="dxa"/>
            <w:shd w:val="clear" w:color="FFFFFF" w:fill="auto"/>
            <w:vAlign w:val="bottom"/>
          </w:tcPr>
          <w:p w:rsidR="00EF6A16" w:rsidRDefault="00EF6A16"/>
        </w:tc>
        <w:tc>
          <w:tcPr>
            <w:tcW w:w="1250" w:type="dxa"/>
            <w:shd w:val="clear" w:color="FFFFFF" w:fill="auto"/>
            <w:vAlign w:val="bottom"/>
          </w:tcPr>
          <w:p w:rsidR="00EF6A16" w:rsidRDefault="00EF6A16"/>
        </w:tc>
        <w:tc>
          <w:tcPr>
            <w:tcW w:w="17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1564" w:type="dxa"/>
            <w:shd w:val="clear" w:color="FFFFFF" w:fill="auto"/>
            <w:vAlign w:val="bottom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25"/>
        </w:trPr>
        <w:tc>
          <w:tcPr>
            <w:tcW w:w="686" w:type="dxa"/>
            <w:shd w:val="clear" w:color="FFFFFF" w:fill="auto"/>
            <w:vAlign w:val="bottom"/>
          </w:tcPr>
          <w:p w:rsidR="00EF6A16" w:rsidRDefault="00EF6A16"/>
        </w:tc>
        <w:tc>
          <w:tcPr>
            <w:tcW w:w="31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4829" w:type="dxa"/>
            <w:shd w:val="clear" w:color="FFFFFF" w:fill="auto"/>
            <w:vAlign w:val="bottom"/>
          </w:tcPr>
          <w:p w:rsidR="00EF6A16" w:rsidRDefault="00EF6A16"/>
        </w:tc>
        <w:tc>
          <w:tcPr>
            <w:tcW w:w="864" w:type="dxa"/>
            <w:shd w:val="clear" w:color="FFFFFF" w:fill="auto"/>
            <w:vAlign w:val="bottom"/>
          </w:tcPr>
          <w:p w:rsidR="00EF6A16" w:rsidRDefault="00EF6A16"/>
        </w:tc>
        <w:tc>
          <w:tcPr>
            <w:tcW w:w="1083" w:type="dxa"/>
            <w:shd w:val="clear" w:color="FFFFFF" w:fill="auto"/>
            <w:vAlign w:val="bottom"/>
          </w:tcPr>
          <w:p w:rsidR="00EF6A16" w:rsidRDefault="00EF6A16"/>
        </w:tc>
        <w:tc>
          <w:tcPr>
            <w:tcW w:w="1250" w:type="dxa"/>
            <w:shd w:val="clear" w:color="FFFFFF" w:fill="auto"/>
            <w:vAlign w:val="bottom"/>
          </w:tcPr>
          <w:p w:rsidR="00EF6A16" w:rsidRDefault="00EF6A16"/>
        </w:tc>
        <w:tc>
          <w:tcPr>
            <w:tcW w:w="17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1564" w:type="dxa"/>
            <w:shd w:val="clear" w:color="FFFFFF" w:fill="auto"/>
            <w:vAlign w:val="bottom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25"/>
        </w:trPr>
        <w:tc>
          <w:tcPr>
            <w:tcW w:w="686" w:type="dxa"/>
            <w:shd w:val="clear" w:color="FFFFFF" w:fill="auto"/>
            <w:vAlign w:val="bottom"/>
          </w:tcPr>
          <w:p w:rsidR="00EF6A16" w:rsidRDefault="00EF6A16"/>
        </w:tc>
        <w:tc>
          <w:tcPr>
            <w:tcW w:w="31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4829" w:type="dxa"/>
            <w:shd w:val="clear" w:color="FFFFFF" w:fill="auto"/>
            <w:vAlign w:val="bottom"/>
          </w:tcPr>
          <w:p w:rsidR="00EF6A16" w:rsidRDefault="00EF6A16"/>
        </w:tc>
        <w:tc>
          <w:tcPr>
            <w:tcW w:w="864" w:type="dxa"/>
            <w:shd w:val="clear" w:color="FFFFFF" w:fill="auto"/>
            <w:vAlign w:val="bottom"/>
          </w:tcPr>
          <w:p w:rsidR="00EF6A16" w:rsidRDefault="00EF6A16"/>
        </w:tc>
        <w:tc>
          <w:tcPr>
            <w:tcW w:w="1083" w:type="dxa"/>
            <w:shd w:val="clear" w:color="FFFFFF" w:fill="auto"/>
            <w:vAlign w:val="bottom"/>
          </w:tcPr>
          <w:p w:rsidR="00EF6A16" w:rsidRDefault="00EF6A16"/>
        </w:tc>
        <w:tc>
          <w:tcPr>
            <w:tcW w:w="1250" w:type="dxa"/>
            <w:shd w:val="clear" w:color="FFFFFF" w:fill="auto"/>
            <w:vAlign w:val="bottom"/>
          </w:tcPr>
          <w:p w:rsidR="00EF6A16" w:rsidRDefault="00EF6A16"/>
        </w:tc>
        <w:tc>
          <w:tcPr>
            <w:tcW w:w="17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1564" w:type="dxa"/>
            <w:shd w:val="clear" w:color="FFFFFF" w:fill="auto"/>
            <w:vAlign w:val="bottom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6A16" w:rsidRDefault="00A9618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контрактной службы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И.О. Куликова</w:t>
            </w:r>
          </w:p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25"/>
        </w:trPr>
        <w:tc>
          <w:tcPr>
            <w:tcW w:w="686" w:type="dxa"/>
            <w:shd w:val="clear" w:color="FFFFFF" w:fill="auto"/>
            <w:vAlign w:val="bottom"/>
          </w:tcPr>
          <w:p w:rsidR="00EF6A16" w:rsidRDefault="00EF6A16"/>
        </w:tc>
        <w:tc>
          <w:tcPr>
            <w:tcW w:w="31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4829" w:type="dxa"/>
            <w:shd w:val="clear" w:color="FFFFFF" w:fill="auto"/>
            <w:vAlign w:val="bottom"/>
          </w:tcPr>
          <w:p w:rsidR="00EF6A16" w:rsidRDefault="00EF6A16"/>
        </w:tc>
        <w:tc>
          <w:tcPr>
            <w:tcW w:w="864" w:type="dxa"/>
            <w:shd w:val="clear" w:color="FFFFFF" w:fill="auto"/>
            <w:vAlign w:val="bottom"/>
          </w:tcPr>
          <w:p w:rsidR="00EF6A16" w:rsidRDefault="00EF6A16"/>
        </w:tc>
        <w:tc>
          <w:tcPr>
            <w:tcW w:w="1083" w:type="dxa"/>
            <w:shd w:val="clear" w:color="FFFFFF" w:fill="auto"/>
            <w:vAlign w:val="bottom"/>
          </w:tcPr>
          <w:p w:rsidR="00EF6A16" w:rsidRDefault="00EF6A16"/>
        </w:tc>
        <w:tc>
          <w:tcPr>
            <w:tcW w:w="1250" w:type="dxa"/>
            <w:shd w:val="clear" w:color="FFFFFF" w:fill="auto"/>
            <w:vAlign w:val="bottom"/>
          </w:tcPr>
          <w:p w:rsidR="00EF6A16" w:rsidRDefault="00EF6A16"/>
        </w:tc>
        <w:tc>
          <w:tcPr>
            <w:tcW w:w="17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1564" w:type="dxa"/>
            <w:shd w:val="clear" w:color="FFFFFF" w:fill="auto"/>
            <w:vAlign w:val="bottom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25"/>
        </w:trPr>
        <w:tc>
          <w:tcPr>
            <w:tcW w:w="686" w:type="dxa"/>
            <w:shd w:val="clear" w:color="FFFFFF" w:fill="auto"/>
            <w:vAlign w:val="bottom"/>
          </w:tcPr>
          <w:p w:rsidR="00EF6A16" w:rsidRDefault="00EF6A16"/>
        </w:tc>
        <w:tc>
          <w:tcPr>
            <w:tcW w:w="31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4829" w:type="dxa"/>
            <w:shd w:val="clear" w:color="FFFFFF" w:fill="auto"/>
            <w:vAlign w:val="bottom"/>
          </w:tcPr>
          <w:p w:rsidR="00EF6A16" w:rsidRDefault="00EF6A16"/>
        </w:tc>
        <w:tc>
          <w:tcPr>
            <w:tcW w:w="864" w:type="dxa"/>
            <w:shd w:val="clear" w:color="FFFFFF" w:fill="auto"/>
            <w:vAlign w:val="bottom"/>
          </w:tcPr>
          <w:p w:rsidR="00EF6A16" w:rsidRDefault="00EF6A16"/>
        </w:tc>
        <w:tc>
          <w:tcPr>
            <w:tcW w:w="1083" w:type="dxa"/>
            <w:shd w:val="clear" w:color="FFFFFF" w:fill="auto"/>
            <w:vAlign w:val="bottom"/>
          </w:tcPr>
          <w:p w:rsidR="00EF6A16" w:rsidRDefault="00EF6A16"/>
        </w:tc>
        <w:tc>
          <w:tcPr>
            <w:tcW w:w="1250" w:type="dxa"/>
            <w:shd w:val="clear" w:color="FFFFFF" w:fill="auto"/>
            <w:vAlign w:val="bottom"/>
          </w:tcPr>
          <w:p w:rsidR="00EF6A16" w:rsidRDefault="00EF6A16"/>
        </w:tc>
        <w:tc>
          <w:tcPr>
            <w:tcW w:w="17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1564" w:type="dxa"/>
            <w:shd w:val="clear" w:color="FFFFFF" w:fill="auto"/>
            <w:vAlign w:val="bottom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25"/>
        </w:trPr>
        <w:tc>
          <w:tcPr>
            <w:tcW w:w="686" w:type="dxa"/>
            <w:shd w:val="clear" w:color="FFFFFF" w:fill="auto"/>
            <w:vAlign w:val="bottom"/>
          </w:tcPr>
          <w:p w:rsidR="00EF6A16" w:rsidRDefault="00EF6A16"/>
        </w:tc>
        <w:tc>
          <w:tcPr>
            <w:tcW w:w="31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4829" w:type="dxa"/>
            <w:shd w:val="clear" w:color="FFFFFF" w:fill="auto"/>
            <w:vAlign w:val="bottom"/>
          </w:tcPr>
          <w:p w:rsidR="00EF6A16" w:rsidRDefault="00EF6A16"/>
        </w:tc>
        <w:tc>
          <w:tcPr>
            <w:tcW w:w="864" w:type="dxa"/>
            <w:shd w:val="clear" w:color="FFFFFF" w:fill="auto"/>
            <w:vAlign w:val="bottom"/>
          </w:tcPr>
          <w:p w:rsidR="00EF6A16" w:rsidRDefault="00EF6A16"/>
        </w:tc>
        <w:tc>
          <w:tcPr>
            <w:tcW w:w="1083" w:type="dxa"/>
            <w:shd w:val="clear" w:color="FFFFFF" w:fill="auto"/>
            <w:vAlign w:val="bottom"/>
          </w:tcPr>
          <w:p w:rsidR="00EF6A16" w:rsidRDefault="00EF6A16"/>
        </w:tc>
        <w:tc>
          <w:tcPr>
            <w:tcW w:w="1250" w:type="dxa"/>
            <w:shd w:val="clear" w:color="FFFFFF" w:fill="auto"/>
            <w:vAlign w:val="bottom"/>
          </w:tcPr>
          <w:p w:rsidR="00EF6A16" w:rsidRDefault="00EF6A16"/>
        </w:tc>
        <w:tc>
          <w:tcPr>
            <w:tcW w:w="17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1564" w:type="dxa"/>
            <w:shd w:val="clear" w:color="FFFFFF" w:fill="auto"/>
            <w:vAlign w:val="bottom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25"/>
        </w:trPr>
        <w:tc>
          <w:tcPr>
            <w:tcW w:w="686" w:type="dxa"/>
            <w:shd w:val="clear" w:color="FFFFFF" w:fill="auto"/>
            <w:vAlign w:val="bottom"/>
          </w:tcPr>
          <w:p w:rsidR="00EF6A16" w:rsidRDefault="00EF6A16"/>
        </w:tc>
        <w:tc>
          <w:tcPr>
            <w:tcW w:w="31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4829" w:type="dxa"/>
            <w:shd w:val="clear" w:color="FFFFFF" w:fill="auto"/>
            <w:vAlign w:val="bottom"/>
          </w:tcPr>
          <w:p w:rsidR="00EF6A16" w:rsidRDefault="00EF6A16"/>
        </w:tc>
        <w:tc>
          <w:tcPr>
            <w:tcW w:w="864" w:type="dxa"/>
            <w:shd w:val="clear" w:color="FFFFFF" w:fill="auto"/>
            <w:vAlign w:val="bottom"/>
          </w:tcPr>
          <w:p w:rsidR="00EF6A16" w:rsidRDefault="00EF6A16"/>
        </w:tc>
        <w:tc>
          <w:tcPr>
            <w:tcW w:w="1083" w:type="dxa"/>
            <w:shd w:val="clear" w:color="FFFFFF" w:fill="auto"/>
            <w:vAlign w:val="bottom"/>
          </w:tcPr>
          <w:p w:rsidR="00EF6A16" w:rsidRDefault="00EF6A16"/>
        </w:tc>
        <w:tc>
          <w:tcPr>
            <w:tcW w:w="1250" w:type="dxa"/>
            <w:shd w:val="clear" w:color="FFFFFF" w:fill="auto"/>
            <w:vAlign w:val="bottom"/>
          </w:tcPr>
          <w:p w:rsidR="00EF6A16" w:rsidRDefault="00EF6A16"/>
        </w:tc>
        <w:tc>
          <w:tcPr>
            <w:tcW w:w="1748" w:type="dxa"/>
            <w:shd w:val="clear" w:color="FFFFFF" w:fill="auto"/>
            <w:vAlign w:val="bottom"/>
          </w:tcPr>
          <w:p w:rsidR="00EF6A16" w:rsidRDefault="00EF6A16"/>
        </w:tc>
        <w:tc>
          <w:tcPr>
            <w:tcW w:w="1564" w:type="dxa"/>
            <w:shd w:val="clear" w:color="FFFFFF" w:fill="auto"/>
            <w:vAlign w:val="bottom"/>
          </w:tcPr>
          <w:p w:rsidR="00EF6A16" w:rsidRDefault="00EF6A16"/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6A16" w:rsidRDefault="00A9618A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EF6A16" w:rsidTr="00EB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6A16" w:rsidRDefault="00A9618A">
            <w:r>
              <w:rPr>
                <w:rFonts w:ascii="Times New Roman" w:hAnsi="Times New Roman"/>
                <w:sz w:val="22"/>
              </w:rPr>
              <w:t xml:space="preserve">Санникова Елена </w:t>
            </w:r>
            <w:r>
              <w:rPr>
                <w:rFonts w:ascii="Times New Roman" w:hAnsi="Times New Roman"/>
                <w:sz w:val="22"/>
              </w:rPr>
              <w:t>Владимировна, тел. 220-16-04</w:t>
            </w:r>
          </w:p>
        </w:tc>
      </w:tr>
    </w:tbl>
    <w:p w:rsidR="00000000" w:rsidRDefault="00A9618A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A16"/>
    <w:rsid w:val="009C7F0B"/>
    <w:rsid w:val="00A12CFD"/>
    <w:rsid w:val="00A9618A"/>
    <w:rsid w:val="00BC110B"/>
    <w:rsid w:val="00C12F1C"/>
    <w:rsid w:val="00EB68C8"/>
    <w:rsid w:val="00E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7B234-4440-4D79-9DA3-CB6300E7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6449</Words>
  <Characters>36764</Characters>
  <Application>Microsoft Office Word</Application>
  <DocSecurity>0</DocSecurity>
  <Lines>306</Lines>
  <Paragraphs>86</Paragraphs>
  <ScaleCrop>false</ScaleCrop>
  <Company/>
  <LinksUpToDate>false</LinksUpToDate>
  <CharactersWithSpaces>43127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7</cp:revision>
  <dcterms:created xsi:type="dcterms:W3CDTF">2017-11-02T07:04:00Z</dcterms:created>
  <dcterms:modified xsi:type="dcterms:W3CDTF">2017-11-02T07:10:00Z</dcterms:modified>
</cp:coreProperties>
</file>