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055"/>
        <w:gridCol w:w="4889"/>
        <w:gridCol w:w="756"/>
        <w:gridCol w:w="1115"/>
        <w:gridCol w:w="1278"/>
        <w:gridCol w:w="1752"/>
        <w:gridCol w:w="1577"/>
        <w:gridCol w:w="571"/>
      </w:tblGrid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615"/>
        </w:trPr>
        <w:tc>
          <w:tcPr>
            <w:tcW w:w="8656" w:type="dxa"/>
            <w:gridSpan w:val="3"/>
            <w:vMerge w:val="restart"/>
            <w:shd w:val="clear" w:color="FFFFFF" w:fill="auto"/>
            <w:vAlign w:val="bottom"/>
          </w:tcPr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7849F1" w:rsidRP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9F1">
              <w:rPr>
                <w:rFonts w:ascii="Times New Roman" w:hAnsi="Times New Roman"/>
                <w:sz w:val="24"/>
                <w:szCs w:val="24"/>
              </w:rPr>
              <w:t>-</w:t>
            </w:r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849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49F1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49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 658-2017</w:t>
            </w:r>
          </w:p>
          <w:p w:rsidR="007849F1" w:rsidRDefault="007849F1" w:rsidP="002361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2393" w:type="dxa"/>
            <w:gridSpan w:val="2"/>
            <w:shd w:val="clear" w:color="FFFFFF" w:fill="auto"/>
            <w:vAlign w:val="bottom"/>
          </w:tcPr>
          <w:p w:rsidR="007849F1" w:rsidRDefault="007849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RP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Pr="007849F1" w:rsidRDefault="007849F1" w:rsidP="00236152">
            <w:pPr>
              <w:jc w:val="center"/>
              <w:rPr>
                <w:lang w:val="en-US"/>
              </w:rPr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Pr="007849F1" w:rsidRDefault="007849F1">
            <w:pPr>
              <w:rPr>
                <w:lang w:val="en-US"/>
              </w:rPr>
            </w:pPr>
          </w:p>
        </w:tc>
        <w:tc>
          <w:tcPr>
            <w:tcW w:w="1115" w:type="dxa"/>
            <w:shd w:val="clear" w:color="FFFFFF" w:fill="auto"/>
            <w:vAlign w:val="bottom"/>
          </w:tcPr>
          <w:p w:rsidR="007849F1" w:rsidRPr="007849F1" w:rsidRDefault="007849F1">
            <w:pPr>
              <w:rPr>
                <w:lang w:val="en-US"/>
              </w:rPr>
            </w:pPr>
          </w:p>
        </w:tc>
        <w:tc>
          <w:tcPr>
            <w:tcW w:w="1278" w:type="dxa"/>
            <w:shd w:val="clear" w:color="FFFFFF" w:fill="auto"/>
            <w:vAlign w:val="bottom"/>
          </w:tcPr>
          <w:p w:rsidR="007849F1" w:rsidRPr="007849F1" w:rsidRDefault="007849F1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FFFFFF" w:fill="auto"/>
            <w:vAlign w:val="bottom"/>
          </w:tcPr>
          <w:p w:rsidR="007849F1" w:rsidRPr="007849F1" w:rsidRDefault="007849F1">
            <w:pPr>
              <w:rPr>
                <w:lang w:val="en-US"/>
              </w:rPr>
            </w:pPr>
          </w:p>
        </w:tc>
        <w:tc>
          <w:tcPr>
            <w:tcW w:w="1577" w:type="dxa"/>
            <w:shd w:val="clear" w:color="FFFFFF" w:fill="auto"/>
            <w:vAlign w:val="bottom"/>
          </w:tcPr>
          <w:p w:rsidR="007849F1" w:rsidRPr="007849F1" w:rsidRDefault="007849F1">
            <w:pPr>
              <w:rPr>
                <w:lang w:val="en-US"/>
              </w:rPr>
            </w:pPr>
          </w:p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 w:rsidP="00236152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7849F1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8656" w:type="dxa"/>
            <w:gridSpan w:val="3"/>
            <w:vMerge/>
            <w:shd w:val="clear" w:color="FFFFFF" w:fill="auto"/>
            <w:vAlign w:val="bottom"/>
          </w:tcPr>
          <w:p w:rsidR="007849F1" w:rsidRDefault="007849F1">
            <w:pPr>
              <w:jc w:val="center"/>
            </w:pPr>
          </w:p>
        </w:tc>
        <w:tc>
          <w:tcPr>
            <w:tcW w:w="756" w:type="dxa"/>
            <w:shd w:val="clear" w:color="FFFFFF" w:fill="auto"/>
            <w:vAlign w:val="bottom"/>
          </w:tcPr>
          <w:p w:rsidR="007849F1" w:rsidRDefault="007849F1"/>
        </w:tc>
        <w:tc>
          <w:tcPr>
            <w:tcW w:w="1115" w:type="dxa"/>
            <w:shd w:val="clear" w:color="FFFFFF" w:fill="auto"/>
            <w:vAlign w:val="bottom"/>
          </w:tcPr>
          <w:p w:rsidR="007849F1" w:rsidRDefault="007849F1"/>
        </w:tc>
        <w:tc>
          <w:tcPr>
            <w:tcW w:w="1278" w:type="dxa"/>
            <w:shd w:val="clear" w:color="FFFFFF" w:fill="auto"/>
            <w:vAlign w:val="bottom"/>
          </w:tcPr>
          <w:p w:rsidR="007849F1" w:rsidRDefault="007849F1"/>
        </w:tc>
        <w:tc>
          <w:tcPr>
            <w:tcW w:w="1752" w:type="dxa"/>
            <w:shd w:val="clear" w:color="FFFFFF" w:fill="auto"/>
            <w:vAlign w:val="bottom"/>
          </w:tcPr>
          <w:p w:rsidR="007849F1" w:rsidRDefault="007849F1"/>
        </w:tc>
        <w:tc>
          <w:tcPr>
            <w:tcW w:w="1577" w:type="dxa"/>
            <w:shd w:val="clear" w:color="FFFFFF" w:fill="auto"/>
            <w:vAlign w:val="bottom"/>
          </w:tcPr>
          <w:p w:rsidR="007849F1" w:rsidRDefault="007849F1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75"/>
        </w:trPr>
        <w:tc>
          <w:tcPr>
            <w:tcW w:w="11805" w:type="dxa"/>
            <w:gridSpan w:val="6"/>
            <w:shd w:val="clear" w:color="FFFFFF" w:fill="auto"/>
            <w:vAlign w:val="bottom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75"/>
        </w:trPr>
        <w:tc>
          <w:tcPr>
            <w:tcW w:w="11805" w:type="dxa"/>
            <w:gridSpan w:val="6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6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7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polymerase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комплекте с буфером и MgSO4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>Набор включает в себя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термостабильную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Platinum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активностью 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объемом 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Свойство "горячего старта" фермента обеспечивается обработкой термолабильными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которые делают полимеразу неактивной до начала этапа денатурации процесса амплификации ДНК. Также в набор входит буфер для ПЦР (10X PCR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Buffer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 1 мл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mgCl2. Хранение при температуре -20°С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0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микросферы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>Калибровочные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калибровочных микросфер диаметром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CAL1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MCAL1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</w:t>
            </w:r>
            <w:r>
              <w:rPr>
                <w:rFonts w:ascii="Times New Roman" w:hAnsi="Times New Roman"/>
                <w:sz w:val="24"/>
                <w:szCs w:val="24"/>
              </w:rPr>
              <w:t>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CAL2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6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Калибровочные микросферы контрольные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>Контрольные микросферы №1, 5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контрольных микросфер диаметром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1-4 микрон в виде суспензии для калибрования прибора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CON1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MCON1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CON2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Reporter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микросферы флакон объёмом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Fluidics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микросферы флакон объёмом 5 мл;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8-луночные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упаковка 28 шт.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42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выделения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№96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автоматического выделения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высокоочищенной геномной ДНК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крови с антикоагулянтом. Выделенная ДНК подходит для постановки молекулярно-генетических анализов.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Средний выход ДНК составляет 20 - 120 мкг из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цельной нормальной крови (в среднем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 ДНК - 50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чистота в среднем - 1,7).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Набор включает в себя не менее 96 готовых картриджей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реагентами для выделения ДНК, бокс с 96 одноразовыми наконечниками, упаковку с не  менее 96 одноразовыми помпами и инструкцию.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</w:t>
            </w:r>
            <w:r>
              <w:rPr>
                <w:rFonts w:ascii="Times New Roman" w:hAnsi="Times New Roman"/>
                <w:sz w:val="24"/>
                <w:szCs w:val="24"/>
              </w:rPr>
              <w:t>итан не менее, чем на 96 выделений геномной ДНК.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93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 DRB1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№50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HLA-DRB1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ПЦР смеси не бол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смесь микросфер с HLA-спе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93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№50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локуса HLA-B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</w:t>
            </w:r>
            <w:r>
              <w:rPr>
                <w:rFonts w:ascii="Times New Roman" w:hAnsi="Times New Roman"/>
                <w:sz w:val="24"/>
                <w:szCs w:val="24"/>
              </w:rPr>
              <w:t>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Необходимое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Количество компонентов набора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-полимераза,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120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HLA-DQ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HLA-DQ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 Протокол анализа включает этапы выделения геномной ДНК, локус-специфическую ампли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анализа исключает циклы промывки и центрифугирования в ходе гибридизации. 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протокола амплификации не более 1 часа 15 мин. Продолжительность протокола гибридизации не более 20 мин. 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Необходимое количество геномн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раствор для разведения, хранение  +18-+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предназначен для идентификации HLA антител 1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использует вакуумную промывку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93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Typing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№50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HLA-А на низком и среднем разрешении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-технология).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включает этапы выделения геномной ДНК, локус-специфическую амплификацию,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раствор для разве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дения, хранение  +18-+30 °С, не менее 9,9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вскрытия набора все компоненты сохраняют свою стабильность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 DNA.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рассчитан на постановку не менее 50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78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HLA-С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локуса HLA-C среднего и высокого разрешения методом SSO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 включает этапы выделения геномной ДНК, локус-специфическую амплификацию, гибридизацию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Протокол анализа исключает циклы промывки и центрифугирования в ходе гибридизации. Протокол анализа предусматривает автоматическую денатура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ампликонов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амплификации c получением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одноцепочечной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 Продолжительность протокола амплификации не более 1 часа 15 мин. Продолжительность протокола гибридизации не более 20 мин. Объем ПЦР смеси не более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флуоресцентная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сигнала (считывание метки SA-PE). Необходимое количество геномной ДНК - 40-120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компонентов набора - не менее 5: смесь для ПЦР, хранение при +2-+8 °С, не менее 870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смесь микросфер для повышения разрешения с HLA-специфическими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олигонуклеотидами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+2-+8 °С, не менее 810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раствор для разведения, хранение  +18-+30 °С, не менее 19,7 мл;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-полимераза, транспортировка +2-8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°С, хранение -20 °С, не менее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50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48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антител (с рекомбинантными антигенами)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-технология). Состав набора: смесь микросфер с антигенами к HLA класс 1 -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-65 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48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антител (с рекомбинантными антигенами)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идентификации HLA антител 2 класса при помощи панели рекомбинантных HLA-антигенов методом мультиплексного анализа на платформе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xMAP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ология). Состав набора: смесь микросфер с антигенами к HLA класс 2 - не менее 960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-65 °С. Концентрированный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Промывочный буфер - не менее 25 мл, хранение при 20-24 °С. Положительный 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хранение при 2-8 °С. Отрицательный контроль - не менее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хранение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 совместим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-IT. Набор рассчитан на постановку 24 тестов.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9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Pr="003227A0" w:rsidRDefault="003227A0"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промывочная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Luminex</w:t>
            </w:r>
            <w:proofErr w:type="spellEnd"/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LifeCodes</w:t>
            </w:r>
            <w:proofErr w:type="spellEnd"/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Sheath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Concentrated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9F1">
              <w:rPr>
                <w:rFonts w:ascii="Times New Roman" w:hAnsi="Times New Roman"/>
                <w:sz w:val="24"/>
                <w:szCs w:val="24"/>
                <w:lang w:val="en-US"/>
              </w:rPr>
              <w:t>Fluid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227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Жидкость для формирования потока при проведении анализов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мультипараметрическом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флуоресцентном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100/200. Канистра объемом 20 л.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48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сенсибилизации (скрининг)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Deluxe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№96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лимфоцитарной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сенсибилизации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(скрининг). Смесь специфичных гликопротеинов реагирующих с КРГ  A1, A2, B5, B7, B8, B12  и КРГ DR1/51, DR52, DR53, DQB. Температура 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транспотрировки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всех компонентов+2-+8С. Протокол использует вакуумную промывку при работе с фильтрационными планш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етами. Количество компонентов набора - не менее 5. Суспензия микросфер - не менее 480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Концентрат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не менее 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Промывочный буфер  -не менее 150 мл. Положительная контрольная сыворотка - не менее 80 мл. Отрицательная контрольная сыворот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- не менее 80 мл. Протокол использует вакуумную промывку при работе с фильтрационными планшетами. Протокол исключает этапы центрифугирования. Протокол интерпретации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совместимм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программой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QuickType</w:t>
            </w:r>
            <w:proofErr w:type="spellEnd"/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Среда 199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15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72 лунки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Терасаки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72 лунки,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стерильные,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крышкой.Микропланшет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72-луночный для иммунологических исследований и постановки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теста, однократного применения, </w:t>
            </w:r>
            <w:r>
              <w:rPr>
                <w:rFonts w:ascii="Times New Roman" w:hAnsi="Times New Roman"/>
                <w:sz w:val="24"/>
                <w:szCs w:val="24"/>
              </w:rPr>
              <w:t>с крышкой, лунки с круглым дном.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15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Контроль положительный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0,1мл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светло-желтого или светло-розового цвета. Сыворотка вызывает лизис 100% лимфоцитов любой  специфичности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тесте, расфасована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0,1мл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микропробирке</w:t>
            </w:r>
            <w:proofErr w:type="spellEnd"/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15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Контроль отрицательный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теста 0,1мл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светло-желтого или светло-розового цвета. Сыворотка не вызывает лизис лимфоцитов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любой  специфичности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тесте, расфасована в микропробирку.0,1 мл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микропробирке</w:t>
            </w:r>
            <w:proofErr w:type="spellEnd"/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1515"/>
        </w:trPr>
        <w:tc>
          <w:tcPr>
            <w:tcW w:w="7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>Комплемент для HLA-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I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r>
              <w:rPr>
                <w:rFonts w:ascii="Times New Roman" w:hAnsi="Times New Roman"/>
                <w:sz w:val="24"/>
                <w:szCs w:val="24"/>
              </w:rPr>
              <w:t xml:space="preserve">Сухое порошкообразное вещество для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Комплемент вызывает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специфический лизис 80-100% лимфоцитов в стандартном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лимфоцитотоксическом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тесте. Растворяется в 1,0 мл дистиллированной воды.</w:t>
            </w:r>
          </w:p>
        </w:tc>
        <w:tc>
          <w:tcPr>
            <w:tcW w:w="7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3227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705"/>
        </w:trPr>
        <w:tc>
          <w:tcPr>
            <w:tcW w:w="11805" w:type="dxa"/>
            <w:gridSpan w:val="6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75"/>
        </w:trPr>
        <w:tc>
          <w:tcPr>
            <w:tcW w:w="11805" w:type="dxa"/>
            <w:gridSpan w:val="6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>Цена должна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55"/>
        </w:trPr>
        <w:tc>
          <w:tcPr>
            <w:tcW w:w="15134" w:type="dxa"/>
            <w:gridSpan w:val="8"/>
            <w:vMerge w:val="restart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220-16-04.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350"/>
        </w:trPr>
        <w:tc>
          <w:tcPr>
            <w:tcW w:w="15134" w:type="dxa"/>
            <w:gridSpan w:val="8"/>
            <w:vMerge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закупок, тел. 220-16-04.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И.О. Куликова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1" w:type="dxa"/>
          <w:trHeight w:val="225"/>
        </w:trPr>
        <w:tc>
          <w:tcPr>
            <w:tcW w:w="712" w:type="dxa"/>
            <w:shd w:val="clear" w:color="FFFFFF" w:fill="auto"/>
            <w:vAlign w:val="bottom"/>
          </w:tcPr>
          <w:p w:rsidR="00886CCB" w:rsidRDefault="00886CCB"/>
        </w:tc>
        <w:tc>
          <w:tcPr>
            <w:tcW w:w="3055" w:type="dxa"/>
            <w:shd w:val="clear" w:color="FFFFFF" w:fill="auto"/>
            <w:vAlign w:val="bottom"/>
          </w:tcPr>
          <w:p w:rsidR="00886CCB" w:rsidRDefault="00886CCB"/>
        </w:tc>
        <w:tc>
          <w:tcPr>
            <w:tcW w:w="4889" w:type="dxa"/>
            <w:shd w:val="clear" w:color="FFFFFF" w:fill="auto"/>
            <w:vAlign w:val="bottom"/>
          </w:tcPr>
          <w:p w:rsidR="00886CCB" w:rsidRDefault="00886CCB"/>
        </w:tc>
        <w:tc>
          <w:tcPr>
            <w:tcW w:w="756" w:type="dxa"/>
            <w:shd w:val="clear" w:color="FFFFFF" w:fill="auto"/>
            <w:vAlign w:val="bottom"/>
          </w:tcPr>
          <w:p w:rsidR="00886CCB" w:rsidRDefault="00886CCB"/>
        </w:tc>
        <w:tc>
          <w:tcPr>
            <w:tcW w:w="1115" w:type="dxa"/>
            <w:shd w:val="clear" w:color="FFFFFF" w:fill="auto"/>
            <w:vAlign w:val="bottom"/>
          </w:tcPr>
          <w:p w:rsidR="00886CCB" w:rsidRDefault="00886CCB"/>
        </w:tc>
        <w:tc>
          <w:tcPr>
            <w:tcW w:w="1278" w:type="dxa"/>
            <w:shd w:val="clear" w:color="FFFFFF" w:fill="auto"/>
            <w:vAlign w:val="bottom"/>
          </w:tcPr>
          <w:p w:rsidR="00886CCB" w:rsidRDefault="00886CCB"/>
        </w:tc>
        <w:tc>
          <w:tcPr>
            <w:tcW w:w="1752" w:type="dxa"/>
            <w:shd w:val="clear" w:color="FFFFFF" w:fill="auto"/>
            <w:vAlign w:val="bottom"/>
          </w:tcPr>
          <w:p w:rsidR="00886CCB" w:rsidRDefault="00886CCB"/>
        </w:tc>
        <w:tc>
          <w:tcPr>
            <w:tcW w:w="1577" w:type="dxa"/>
            <w:shd w:val="clear" w:color="FFFFFF" w:fill="auto"/>
            <w:vAlign w:val="bottom"/>
          </w:tcPr>
          <w:p w:rsidR="00886CCB" w:rsidRDefault="00886CCB"/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86CCB" w:rsidTr="00784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886CCB" w:rsidRDefault="003227A0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3227A0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CCB"/>
    <w:rsid w:val="003227A0"/>
    <w:rsid w:val="007849F1"/>
    <w:rsid w:val="008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3C97E-6009-485A-8FB3-E52F4D4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2338</Words>
  <Characters>13332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2017-11-02T08:01:00Z</dcterms:created>
  <dcterms:modified xsi:type="dcterms:W3CDTF">2017-11-02T08:04:00Z</dcterms:modified>
</cp:coreProperties>
</file>