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93"/>
        <w:gridCol w:w="4942"/>
        <w:gridCol w:w="734"/>
        <w:gridCol w:w="1076"/>
        <w:gridCol w:w="1244"/>
        <w:gridCol w:w="1747"/>
        <w:gridCol w:w="1561"/>
        <w:gridCol w:w="526"/>
      </w:tblGrid>
      <w:tr w:rsid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615"/>
        </w:trPr>
        <w:tc>
          <w:tcPr>
            <w:tcW w:w="8675" w:type="dxa"/>
            <w:gridSpan w:val="3"/>
            <w:vMerge w:val="restart"/>
            <w:shd w:val="clear" w:color="FFFFFF" w:fill="auto"/>
            <w:vAlign w:val="bottom"/>
          </w:tcPr>
          <w:p w:rsid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C627B2" w:rsidRP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7B2">
              <w:rPr>
                <w:rFonts w:ascii="Times New Roman" w:hAnsi="Times New Roman"/>
                <w:sz w:val="24"/>
                <w:szCs w:val="24"/>
              </w:rPr>
              <w:t>-</w:t>
            </w:r>
            <w:r w:rsidRPr="00C627B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627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627B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r w:rsidRPr="00C627B2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r w:rsidRPr="00C627B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r w:rsidRPr="00C627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627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.11.2017 г. №. 676-2018</w:t>
            </w:r>
          </w:p>
          <w:p w:rsidR="00C627B2" w:rsidRDefault="00C627B2" w:rsidP="001760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Default="00C627B2"/>
        </w:tc>
        <w:tc>
          <w:tcPr>
            <w:tcW w:w="2320" w:type="dxa"/>
            <w:gridSpan w:val="2"/>
            <w:shd w:val="clear" w:color="FFFFFF" w:fill="auto"/>
            <w:vAlign w:val="bottom"/>
          </w:tcPr>
          <w:p w:rsidR="00C627B2" w:rsidRDefault="00C627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7" w:type="dxa"/>
            <w:shd w:val="clear" w:color="FFFFFF" w:fill="auto"/>
            <w:vAlign w:val="bottom"/>
          </w:tcPr>
          <w:p w:rsidR="00C627B2" w:rsidRDefault="00C627B2"/>
        </w:tc>
        <w:tc>
          <w:tcPr>
            <w:tcW w:w="1561" w:type="dxa"/>
            <w:shd w:val="clear" w:color="FFFFFF" w:fill="auto"/>
            <w:vAlign w:val="bottom"/>
          </w:tcPr>
          <w:p w:rsidR="00C627B2" w:rsidRDefault="00C627B2"/>
        </w:tc>
      </w:tr>
      <w:tr w:rsid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8675" w:type="dxa"/>
            <w:gridSpan w:val="3"/>
            <w:vMerge/>
            <w:shd w:val="clear" w:color="FFFFFF" w:fill="auto"/>
            <w:vAlign w:val="bottom"/>
          </w:tcPr>
          <w:p w:rsidR="00C627B2" w:rsidRDefault="00C627B2" w:rsidP="00176026">
            <w:pPr>
              <w:jc w:val="center"/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076" w:type="dxa"/>
            <w:shd w:val="clear" w:color="FFFFFF" w:fill="auto"/>
            <w:vAlign w:val="bottom"/>
          </w:tcPr>
          <w:p w:rsidR="00C627B2" w:rsidRDefault="00C627B2"/>
        </w:tc>
        <w:tc>
          <w:tcPr>
            <w:tcW w:w="124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747" w:type="dxa"/>
            <w:shd w:val="clear" w:color="FFFFFF" w:fill="auto"/>
            <w:vAlign w:val="bottom"/>
          </w:tcPr>
          <w:p w:rsidR="00C627B2" w:rsidRDefault="00C627B2"/>
        </w:tc>
        <w:tc>
          <w:tcPr>
            <w:tcW w:w="1561" w:type="dxa"/>
            <w:shd w:val="clear" w:color="FFFFFF" w:fill="auto"/>
            <w:vAlign w:val="bottom"/>
          </w:tcPr>
          <w:p w:rsidR="00C627B2" w:rsidRDefault="00C627B2"/>
        </w:tc>
      </w:tr>
      <w:tr w:rsid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8675" w:type="dxa"/>
            <w:gridSpan w:val="3"/>
            <w:vMerge/>
            <w:shd w:val="clear" w:color="FFFFFF" w:fill="auto"/>
            <w:vAlign w:val="bottom"/>
          </w:tcPr>
          <w:p w:rsidR="00C627B2" w:rsidRDefault="00C627B2" w:rsidP="00176026">
            <w:pPr>
              <w:jc w:val="center"/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076" w:type="dxa"/>
            <w:shd w:val="clear" w:color="FFFFFF" w:fill="auto"/>
            <w:vAlign w:val="bottom"/>
          </w:tcPr>
          <w:p w:rsidR="00C627B2" w:rsidRDefault="00C627B2"/>
        </w:tc>
        <w:tc>
          <w:tcPr>
            <w:tcW w:w="124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747" w:type="dxa"/>
            <w:shd w:val="clear" w:color="FFFFFF" w:fill="auto"/>
            <w:vAlign w:val="bottom"/>
          </w:tcPr>
          <w:p w:rsidR="00C627B2" w:rsidRDefault="00C627B2"/>
        </w:tc>
        <w:tc>
          <w:tcPr>
            <w:tcW w:w="1561" w:type="dxa"/>
            <w:shd w:val="clear" w:color="FFFFFF" w:fill="auto"/>
            <w:vAlign w:val="bottom"/>
          </w:tcPr>
          <w:p w:rsidR="00C627B2" w:rsidRDefault="00C627B2"/>
        </w:tc>
      </w:tr>
      <w:tr w:rsid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8675" w:type="dxa"/>
            <w:gridSpan w:val="3"/>
            <w:vMerge/>
            <w:shd w:val="clear" w:color="FFFFFF" w:fill="auto"/>
            <w:vAlign w:val="bottom"/>
          </w:tcPr>
          <w:p w:rsidR="00C627B2" w:rsidRDefault="00C627B2" w:rsidP="00176026">
            <w:pPr>
              <w:jc w:val="center"/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076" w:type="dxa"/>
            <w:shd w:val="clear" w:color="FFFFFF" w:fill="auto"/>
            <w:vAlign w:val="bottom"/>
          </w:tcPr>
          <w:p w:rsidR="00C627B2" w:rsidRDefault="00C627B2"/>
        </w:tc>
        <w:tc>
          <w:tcPr>
            <w:tcW w:w="124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747" w:type="dxa"/>
            <w:shd w:val="clear" w:color="FFFFFF" w:fill="auto"/>
            <w:vAlign w:val="bottom"/>
          </w:tcPr>
          <w:p w:rsidR="00C627B2" w:rsidRDefault="00C627B2"/>
        </w:tc>
        <w:tc>
          <w:tcPr>
            <w:tcW w:w="1561" w:type="dxa"/>
            <w:shd w:val="clear" w:color="FFFFFF" w:fill="auto"/>
            <w:vAlign w:val="bottom"/>
          </w:tcPr>
          <w:p w:rsidR="00C627B2" w:rsidRDefault="00C627B2"/>
        </w:tc>
      </w:tr>
      <w:tr w:rsid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8675" w:type="dxa"/>
            <w:gridSpan w:val="3"/>
            <w:vMerge/>
            <w:shd w:val="clear" w:color="FFFFFF" w:fill="auto"/>
            <w:vAlign w:val="bottom"/>
          </w:tcPr>
          <w:p w:rsidR="00C627B2" w:rsidRDefault="00C627B2" w:rsidP="00176026">
            <w:pPr>
              <w:jc w:val="center"/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076" w:type="dxa"/>
            <w:shd w:val="clear" w:color="FFFFFF" w:fill="auto"/>
            <w:vAlign w:val="bottom"/>
          </w:tcPr>
          <w:p w:rsidR="00C627B2" w:rsidRDefault="00C627B2"/>
        </w:tc>
        <w:tc>
          <w:tcPr>
            <w:tcW w:w="124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747" w:type="dxa"/>
            <w:shd w:val="clear" w:color="FFFFFF" w:fill="auto"/>
            <w:vAlign w:val="bottom"/>
          </w:tcPr>
          <w:p w:rsidR="00C627B2" w:rsidRDefault="00C627B2"/>
        </w:tc>
        <w:tc>
          <w:tcPr>
            <w:tcW w:w="1561" w:type="dxa"/>
            <w:shd w:val="clear" w:color="FFFFFF" w:fill="auto"/>
            <w:vAlign w:val="bottom"/>
          </w:tcPr>
          <w:p w:rsidR="00C627B2" w:rsidRDefault="00C627B2"/>
        </w:tc>
      </w:tr>
      <w:tr w:rsidR="00C627B2" w:rsidRP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8675" w:type="dxa"/>
            <w:gridSpan w:val="3"/>
            <w:vMerge/>
            <w:shd w:val="clear" w:color="FFFFFF" w:fill="auto"/>
            <w:vAlign w:val="bottom"/>
          </w:tcPr>
          <w:p w:rsidR="00C627B2" w:rsidRPr="00C627B2" w:rsidRDefault="00C627B2" w:rsidP="00176026">
            <w:pPr>
              <w:jc w:val="center"/>
              <w:rPr>
                <w:lang w:val="en-US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Pr="00C627B2" w:rsidRDefault="00C627B2">
            <w:pPr>
              <w:rPr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C627B2" w:rsidRPr="00C627B2" w:rsidRDefault="00C627B2">
            <w:pPr>
              <w:rPr>
                <w:lang w:val="en-US"/>
              </w:rPr>
            </w:pPr>
          </w:p>
        </w:tc>
        <w:tc>
          <w:tcPr>
            <w:tcW w:w="1244" w:type="dxa"/>
            <w:shd w:val="clear" w:color="FFFFFF" w:fill="auto"/>
            <w:vAlign w:val="bottom"/>
          </w:tcPr>
          <w:p w:rsidR="00C627B2" w:rsidRPr="00C627B2" w:rsidRDefault="00C627B2">
            <w:pPr>
              <w:rPr>
                <w:lang w:val="en-US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C627B2" w:rsidRPr="00C627B2" w:rsidRDefault="00C627B2">
            <w:pPr>
              <w:rPr>
                <w:lang w:val="en-US"/>
              </w:rPr>
            </w:pPr>
          </w:p>
        </w:tc>
        <w:tc>
          <w:tcPr>
            <w:tcW w:w="1561" w:type="dxa"/>
            <w:shd w:val="clear" w:color="FFFFFF" w:fill="auto"/>
            <w:vAlign w:val="bottom"/>
          </w:tcPr>
          <w:p w:rsidR="00C627B2" w:rsidRPr="00C627B2" w:rsidRDefault="00C627B2">
            <w:pPr>
              <w:rPr>
                <w:lang w:val="en-US"/>
              </w:rPr>
            </w:pPr>
          </w:p>
        </w:tc>
      </w:tr>
      <w:tr w:rsid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8675" w:type="dxa"/>
            <w:gridSpan w:val="3"/>
            <w:vMerge/>
            <w:shd w:val="clear" w:color="FFFFFF" w:fill="auto"/>
            <w:vAlign w:val="bottom"/>
          </w:tcPr>
          <w:p w:rsidR="00C627B2" w:rsidRDefault="00C627B2" w:rsidP="00176026">
            <w:pPr>
              <w:jc w:val="center"/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076" w:type="dxa"/>
            <w:shd w:val="clear" w:color="FFFFFF" w:fill="auto"/>
            <w:vAlign w:val="bottom"/>
          </w:tcPr>
          <w:p w:rsidR="00C627B2" w:rsidRDefault="00C627B2"/>
        </w:tc>
        <w:tc>
          <w:tcPr>
            <w:tcW w:w="124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747" w:type="dxa"/>
            <w:shd w:val="clear" w:color="FFFFFF" w:fill="auto"/>
            <w:vAlign w:val="bottom"/>
          </w:tcPr>
          <w:p w:rsidR="00C627B2" w:rsidRDefault="00C627B2"/>
        </w:tc>
        <w:tc>
          <w:tcPr>
            <w:tcW w:w="1561" w:type="dxa"/>
            <w:shd w:val="clear" w:color="FFFFFF" w:fill="auto"/>
            <w:vAlign w:val="bottom"/>
          </w:tcPr>
          <w:p w:rsidR="00C627B2" w:rsidRDefault="00C627B2"/>
        </w:tc>
      </w:tr>
      <w:tr w:rsid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8675" w:type="dxa"/>
            <w:gridSpan w:val="3"/>
            <w:vMerge/>
            <w:shd w:val="clear" w:color="FFFFFF" w:fill="auto"/>
            <w:vAlign w:val="bottom"/>
          </w:tcPr>
          <w:p w:rsidR="00C627B2" w:rsidRDefault="00C627B2" w:rsidP="00176026">
            <w:pPr>
              <w:jc w:val="center"/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076" w:type="dxa"/>
            <w:shd w:val="clear" w:color="FFFFFF" w:fill="auto"/>
            <w:vAlign w:val="bottom"/>
          </w:tcPr>
          <w:p w:rsidR="00C627B2" w:rsidRDefault="00C627B2"/>
        </w:tc>
        <w:tc>
          <w:tcPr>
            <w:tcW w:w="124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747" w:type="dxa"/>
            <w:shd w:val="clear" w:color="FFFFFF" w:fill="auto"/>
            <w:vAlign w:val="bottom"/>
          </w:tcPr>
          <w:p w:rsidR="00C627B2" w:rsidRDefault="00C627B2"/>
        </w:tc>
        <w:tc>
          <w:tcPr>
            <w:tcW w:w="1561" w:type="dxa"/>
            <w:shd w:val="clear" w:color="FFFFFF" w:fill="auto"/>
            <w:vAlign w:val="bottom"/>
          </w:tcPr>
          <w:p w:rsidR="00C627B2" w:rsidRDefault="00C627B2"/>
        </w:tc>
      </w:tr>
      <w:tr w:rsid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8675" w:type="dxa"/>
            <w:gridSpan w:val="3"/>
            <w:vMerge/>
            <w:shd w:val="clear" w:color="FFFFFF" w:fill="auto"/>
            <w:vAlign w:val="bottom"/>
          </w:tcPr>
          <w:p w:rsidR="00C627B2" w:rsidRDefault="00C627B2" w:rsidP="00176026">
            <w:pPr>
              <w:jc w:val="center"/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076" w:type="dxa"/>
            <w:shd w:val="clear" w:color="FFFFFF" w:fill="auto"/>
            <w:vAlign w:val="bottom"/>
          </w:tcPr>
          <w:p w:rsidR="00C627B2" w:rsidRDefault="00C627B2"/>
        </w:tc>
        <w:tc>
          <w:tcPr>
            <w:tcW w:w="124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747" w:type="dxa"/>
            <w:shd w:val="clear" w:color="FFFFFF" w:fill="auto"/>
            <w:vAlign w:val="bottom"/>
          </w:tcPr>
          <w:p w:rsidR="00C627B2" w:rsidRDefault="00C627B2"/>
        </w:tc>
        <w:tc>
          <w:tcPr>
            <w:tcW w:w="1561" w:type="dxa"/>
            <w:shd w:val="clear" w:color="FFFFFF" w:fill="auto"/>
            <w:vAlign w:val="bottom"/>
          </w:tcPr>
          <w:p w:rsidR="00C627B2" w:rsidRDefault="00C627B2"/>
        </w:tc>
      </w:tr>
      <w:tr w:rsid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8675" w:type="dxa"/>
            <w:gridSpan w:val="3"/>
            <w:vMerge/>
            <w:shd w:val="clear" w:color="FFFFFF" w:fill="auto"/>
            <w:vAlign w:val="bottom"/>
          </w:tcPr>
          <w:p w:rsidR="00C627B2" w:rsidRDefault="00C627B2" w:rsidP="00176026">
            <w:pPr>
              <w:jc w:val="center"/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076" w:type="dxa"/>
            <w:shd w:val="clear" w:color="FFFFFF" w:fill="auto"/>
            <w:vAlign w:val="bottom"/>
          </w:tcPr>
          <w:p w:rsidR="00C627B2" w:rsidRDefault="00C627B2"/>
        </w:tc>
        <w:tc>
          <w:tcPr>
            <w:tcW w:w="124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747" w:type="dxa"/>
            <w:shd w:val="clear" w:color="FFFFFF" w:fill="auto"/>
            <w:vAlign w:val="bottom"/>
          </w:tcPr>
          <w:p w:rsidR="00C627B2" w:rsidRDefault="00C627B2"/>
        </w:tc>
        <w:tc>
          <w:tcPr>
            <w:tcW w:w="1561" w:type="dxa"/>
            <w:shd w:val="clear" w:color="FFFFFF" w:fill="auto"/>
            <w:vAlign w:val="bottom"/>
          </w:tcPr>
          <w:p w:rsidR="00C627B2" w:rsidRDefault="00C627B2"/>
        </w:tc>
      </w:tr>
      <w:tr w:rsidR="00C627B2" w:rsidTr="0017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8675" w:type="dxa"/>
            <w:gridSpan w:val="3"/>
            <w:vMerge/>
            <w:shd w:val="clear" w:color="FFFFFF" w:fill="auto"/>
            <w:vAlign w:val="bottom"/>
          </w:tcPr>
          <w:p w:rsidR="00C627B2" w:rsidRDefault="00C627B2">
            <w:pPr>
              <w:jc w:val="center"/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076" w:type="dxa"/>
            <w:shd w:val="clear" w:color="FFFFFF" w:fill="auto"/>
            <w:vAlign w:val="bottom"/>
          </w:tcPr>
          <w:p w:rsidR="00C627B2" w:rsidRDefault="00C627B2"/>
        </w:tc>
        <w:tc>
          <w:tcPr>
            <w:tcW w:w="1244" w:type="dxa"/>
            <w:shd w:val="clear" w:color="FFFFFF" w:fill="auto"/>
            <w:vAlign w:val="bottom"/>
          </w:tcPr>
          <w:p w:rsidR="00C627B2" w:rsidRDefault="00C627B2"/>
        </w:tc>
        <w:tc>
          <w:tcPr>
            <w:tcW w:w="1747" w:type="dxa"/>
            <w:shd w:val="clear" w:color="FFFFFF" w:fill="auto"/>
            <w:vAlign w:val="bottom"/>
          </w:tcPr>
          <w:p w:rsidR="00C627B2" w:rsidRDefault="00C627B2"/>
        </w:tc>
        <w:tc>
          <w:tcPr>
            <w:tcW w:w="1561" w:type="dxa"/>
            <w:shd w:val="clear" w:color="FFFFFF" w:fill="auto"/>
            <w:vAlign w:val="bottom"/>
          </w:tcPr>
          <w:p w:rsidR="00C627B2" w:rsidRDefault="00C627B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540" w:type="dxa"/>
            <w:shd w:val="clear" w:color="FFFFFF" w:fill="auto"/>
            <w:vAlign w:val="bottom"/>
          </w:tcPr>
          <w:p w:rsidR="00227D32" w:rsidRDefault="00227D32"/>
        </w:tc>
        <w:tc>
          <w:tcPr>
            <w:tcW w:w="3193" w:type="dxa"/>
            <w:shd w:val="clear" w:color="FFFFFF" w:fill="auto"/>
            <w:vAlign w:val="bottom"/>
          </w:tcPr>
          <w:p w:rsidR="00227D32" w:rsidRDefault="00227D32"/>
        </w:tc>
        <w:tc>
          <w:tcPr>
            <w:tcW w:w="4942" w:type="dxa"/>
            <w:shd w:val="clear" w:color="FFFFFF" w:fill="auto"/>
            <w:vAlign w:val="bottom"/>
          </w:tcPr>
          <w:p w:rsidR="00227D32" w:rsidRDefault="00227D32"/>
        </w:tc>
        <w:tc>
          <w:tcPr>
            <w:tcW w:w="73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076" w:type="dxa"/>
            <w:shd w:val="clear" w:color="FFFFFF" w:fill="auto"/>
            <w:vAlign w:val="bottom"/>
          </w:tcPr>
          <w:p w:rsidR="00227D32" w:rsidRDefault="00227D32"/>
        </w:tc>
        <w:tc>
          <w:tcPr>
            <w:tcW w:w="124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563" w:type="dxa"/>
            <w:gridSpan w:val="9"/>
            <w:shd w:val="clear" w:color="FFFFFF" w:fill="auto"/>
            <w:vAlign w:val="bottom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15"/>
        </w:trPr>
        <w:tc>
          <w:tcPr>
            <w:tcW w:w="540" w:type="dxa"/>
            <w:shd w:val="clear" w:color="FFFFFF" w:fill="auto"/>
            <w:vAlign w:val="bottom"/>
          </w:tcPr>
          <w:p w:rsidR="00227D32" w:rsidRDefault="00227D32"/>
        </w:tc>
        <w:tc>
          <w:tcPr>
            <w:tcW w:w="3193" w:type="dxa"/>
            <w:shd w:val="clear" w:color="FFFFFF" w:fill="auto"/>
            <w:vAlign w:val="bottom"/>
          </w:tcPr>
          <w:p w:rsidR="00227D32" w:rsidRDefault="00227D32"/>
        </w:tc>
        <w:tc>
          <w:tcPr>
            <w:tcW w:w="4942" w:type="dxa"/>
            <w:shd w:val="clear" w:color="FFFFFF" w:fill="auto"/>
            <w:vAlign w:val="bottom"/>
          </w:tcPr>
          <w:p w:rsidR="00227D32" w:rsidRDefault="00227D32"/>
        </w:tc>
        <w:tc>
          <w:tcPr>
            <w:tcW w:w="73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076" w:type="dxa"/>
            <w:shd w:val="clear" w:color="FFFFFF" w:fill="auto"/>
            <w:vAlign w:val="bottom"/>
          </w:tcPr>
          <w:p w:rsidR="00227D32" w:rsidRDefault="00227D32"/>
        </w:tc>
        <w:tc>
          <w:tcPr>
            <w:tcW w:w="124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75"/>
        </w:trPr>
        <w:tc>
          <w:tcPr>
            <w:tcW w:w="11729" w:type="dxa"/>
            <w:gridSpan w:val="6"/>
            <w:shd w:val="clear" w:color="FFFFFF" w:fill="auto"/>
            <w:vAlign w:val="bottom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75"/>
        </w:trPr>
        <w:tc>
          <w:tcPr>
            <w:tcW w:w="11729" w:type="dxa"/>
            <w:gridSpan w:val="6"/>
            <w:shd w:val="clear" w:color="FFFFFF" w:fill="auto"/>
            <w:vAlign w:val="bottom"/>
          </w:tcPr>
          <w:p w:rsidR="00227D32" w:rsidRDefault="00D95C74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6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12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правого желудочка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активной фиксацией Flextend 4097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Тип электрода - прямой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 фиксации - активная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дистального полюса окисью иридия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(см), не более - 59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6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разрывной VIK7S1 7Fr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Интродьюсер разрывной размер 7 Fr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6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разрывной VIK7S1 7Fr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Интродьюсер разрывной размер 7 Fr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00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цифровой Esprit D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Описание требований Наличие функции,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параметра по ТЗ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Режимы стимуляции </w:t>
            </w:r>
            <w:r>
              <w:rPr>
                <w:rFonts w:ascii="Times New Roman" w:hAnsi="Times New Roman"/>
                <w:sz w:val="24"/>
                <w:szCs w:val="24"/>
              </w:rPr>
              <w:t>DDD/DDIR - AAI - VVIR - VVI - VDD - DDI - DDTAV - DDTA - DDTV - AAT - VVT - DOO - AOO - VOO - OOO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в диапазоне, не менее 30 - 95 уд. в мин. (шаг не более 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проведения, не менее 185 уд.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Частотный гистерезис в диап</w:t>
            </w:r>
            <w:r>
              <w:rPr>
                <w:rFonts w:ascii="Times New Roman" w:hAnsi="Times New Roman"/>
                <w:sz w:val="24"/>
                <w:szCs w:val="24"/>
              </w:rPr>
              <w:t>азоне, не менее 0 - 24 %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импульса (предсердия и желудочки) в диапазоне, не менее 1.5 - 7.5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импульса (предсердия и желудочки) 0.10 – 1.00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в диапазоне, не менее 0.1 - 6.0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чувствительно</w:t>
            </w:r>
            <w:r>
              <w:rPr>
                <w:rFonts w:ascii="Times New Roman" w:hAnsi="Times New Roman"/>
                <w:sz w:val="24"/>
                <w:szCs w:val="24"/>
              </w:rPr>
              <w:t>сть в диапазоне, не менее 1.0 - 15.0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детекции и стимуляции Униполярная -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снижения процента желудочковой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снижения процента желудочковой стимуляции переключением режимов  DDD(R) &lt;=&gt; псевдоAAI(R) при дете</w:t>
            </w:r>
            <w:r>
              <w:rPr>
                <w:rFonts w:ascii="Times New Roman" w:hAnsi="Times New Roman"/>
                <w:sz w:val="24"/>
                <w:szCs w:val="24"/>
              </w:rPr>
              <w:t>кции собственного АВ проведения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Критерии тестирования наличия собственного АВ проведения алгоритма снижения процента желудочковой стимуляции переключением режимов DDD(R) &lt;=&gt; псевдоAAI(R)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Терапия по предотвращению предсердных тахиаритмий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Алгоритм переключения режимов стимуляции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перехода из режима без частотной адаптации в частотно-адаптивный режим на период  переключения режимов стимуляции (работы switch mode)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сглаживания ритма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</w:t>
            </w:r>
            <w:r>
              <w:rPr>
                <w:rFonts w:ascii="Times New Roman" w:hAnsi="Times New Roman"/>
                <w:sz w:val="24"/>
                <w:szCs w:val="24"/>
              </w:rPr>
              <w:t>раммирования различных режимов работы функции сглаживания ритма Не менее 5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защиты от PMT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автоматического перепрограммирования более короткой АВ задержки  при детекции РМТ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детекции и автоматического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прерывания PMT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Синхронизирующая предсердная стимуляция в ответ на желудочковую экстрасистолу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сенсора Физиологический импедансный (минутной вентиляции).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автоматической настройки кривой частотной </w:t>
            </w:r>
            <w:r>
              <w:rPr>
                <w:rFonts w:ascii="Times New Roman" w:hAnsi="Times New Roman"/>
                <w:sz w:val="24"/>
                <w:szCs w:val="24"/>
              </w:rPr>
              <w:t>адаптации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4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быстрой настройки сенсоров (программирования врачом наклона кривой частотной адаптации) Не менее 5 вариантов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Автоматические функции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измерение амплитуды сердечного си</w:t>
            </w:r>
            <w:r>
              <w:rPr>
                <w:rFonts w:ascii="Times New Roman" w:hAnsi="Times New Roman"/>
                <w:sz w:val="24"/>
                <w:szCs w:val="24"/>
              </w:rPr>
              <w:t>гнала и автоматическая подстройка чувствительности по предсердиям и желудочкам с возможностью работы в активном режиме или режиме мониторинга.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активация всех функций диагностики сразу после детекции имплантации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оматическая подстройка кривой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частотной адаптации при изменении уровня физической активности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измерение импеданса предсердного и желудочкового электродов Наличие, не реже 1 раза в 6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контрольного о</w:t>
            </w:r>
            <w:r>
              <w:rPr>
                <w:rFonts w:ascii="Times New Roman" w:hAnsi="Times New Roman"/>
                <w:sz w:val="24"/>
                <w:szCs w:val="24"/>
              </w:rPr>
              <w:t>смотра в полностью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осмотр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пользователем протокола проведения контрольного осмотра в полностью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сохранения/просмотра данных диагностики и контрол</w:t>
            </w:r>
            <w:r>
              <w:rPr>
                <w:rFonts w:ascii="Times New Roman" w:hAnsi="Times New Roman"/>
                <w:sz w:val="24"/>
                <w:szCs w:val="24"/>
              </w:rPr>
              <w:t>ьного осмотра на внешнем носителе информации и распечатки на принтере (формат А4)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состояния батареи ЭКС с отражением: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остаточного срока службы ЭКС при запрограммированных параметрах стимуляции;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магнитной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вольтажа батареи;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тренда импеданса батареи.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неинвазивного ЭФИ: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залповая предсердная и желудочковая стимуляция;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программируемая последовательность экстрастимулов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Постоянно полностью активная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ностика, включая запись внутрисердечных ЭГМ высокого разрешения, без снижения сроков службы ЭКС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Экспертная система анализа данных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автоматический анализ накопленной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диагностической информации с выдачей врачу сообщений о клинически зна</w:t>
            </w:r>
            <w:r>
              <w:rPr>
                <w:rFonts w:ascii="Times New Roman" w:hAnsi="Times New Roman"/>
                <w:sz w:val="24"/>
                <w:szCs w:val="24"/>
              </w:rPr>
              <w:t>чимых событиях с графическим представлением диагностических данных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анализ параметров стимуляции/детекции и терапии с рекомендациями по перепрограммированию устройства для оптимизации 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Долговременные суточные тренды: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предсердных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% стимуляции.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Дневник аритмий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записи и сохранения внутрисердечных электрограмм (ЭГМ) высокого разрешения в памяти ЭКС Не ме</w:t>
            </w:r>
            <w:r>
              <w:rPr>
                <w:rFonts w:ascii="Times New Roman" w:hAnsi="Times New Roman"/>
                <w:sz w:val="24"/>
                <w:szCs w:val="24"/>
              </w:rPr>
              <w:t>нее 3.5 мин двухканальной (П и Ж) ЭГМ с аннотированными маркерами, синхронизированными с внутрисердечной ЭГМ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дискретизации сердечных сигналов для записи внутрисердечной ЭГМ Не менее 512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Общее число сохраняемых в памяти ЭКС эпизодов внутрисердечн</w:t>
            </w:r>
            <w:r>
              <w:rPr>
                <w:rFonts w:ascii="Times New Roman" w:hAnsi="Times New Roman"/>
                <w:sz w:val="24"/>
                <w:szCs w:val="24"/>
              </w:rPr>
              <w:t>ой ЭГМ Не менее 14 эпизодов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внутрисердечных ЭГМ по программируемым триггерам Не менее 3 активных триггеров записи ЭГМ одновременно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и счетчики: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частоты предсердий и желудочков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по П и 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с частотой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редсердные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и продолжительность эпизодов переключения режимов;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порогов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амплитуд всех физиологических и патологичес</w:t>
            </w:r>
            <w:r>
              <w:rPr>
                <w:rFonts w:ascii="Times New Roman" w:hAnsi="Times New Roman"/>
                <w:sz w:val="24"/>
                <w:szCs w:val="24"/>
              </w:rPr>
              <w:t>ких волн P и R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Недельный холтер (7 суток по 24 часа)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Физические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Не более 41.2 x 41.5 x 6.1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 Не более 20 гр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 Не более 8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коннектора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(70 уд. в мин., 2.5 В, 0.5 мс, 500 Ом, 100% предс</w:t>
            </w:r>
            <w:r>
              <w:rPr>
                <w:rFonts w:ascii="Times New Roman" w:hAnsi="Times New Roman"/>
                <w:sz w:val="24"/>
                <w:szCs w:val="24"/>
              </w:rPr>
              <w:t>ердная и 15% желудочковая стимуляция, вся диагностика постоянно активна, включая запись внутрисердечных ЭГМ) Не менее 9.3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 Не менее 5 лет с момента имплантации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00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частотной адаптацией вариант исполнения: Verity ADx XL DR 5356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№ п.п. Параметр 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Общая 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Электрокардиостимулятор двухкамерный имплантируемый с частотной адаптацией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Электрокардиостимулятор имплантируем</w:t>
            </w:r>
            <w:r>
              <w:rPr>
                <w:rFonts w:ascii="Times New Roman" w:hAnsi="Times New Roman"/>
                <w:sz w:val="24"/>
                <w:szCs w:val="24"/>
              </w:rPr>
              <w:t>ый двухкамерный с частотной адаптацией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AOO(R); AAI(R); AAT(R); VOO(R); VVI(R); VVT(R); VDD(R); DOO(R); DVI(R); DDI(R); DDD(R);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поиск спонтанного проведения (AICS)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Выкл.; от +10 до +1</w:t>
            </w:r>
            <w:r>
              <w:rPr>
                <w:rFonts w:ascii="Times New Roman" w:hAnsi="Times New Roman"/>
                <w:sz w:val="24"/>
                <w:szCs w:val="24"/>
              </w:rPr>
              <w:t>20 с шагом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стимуляции 30, 40–130 с шагом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140–170 с шагом не более 10;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проверка системы стимуляции (Fast-Path): сбор наиболее важных диагностических данных и проведение тестов путем нажатия одной кно</w:t>
            </w:r>
            <w:r>
              <w:rPr>
                <w:rFonts w:ascii="Times New Roman" w:hAnsi="Times New Roman"/>
                <w:sz w:val="24"/>
                <w:szCs w:val="24"/>
              </w:rPr>
              <w:t>пки программирующего устройства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стимула От 0,1 до 8,4 В; шаг не более 0,2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гистерезиса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Выключен, 30–130 с шагом не более 5,140; 150. Наибольшее возможное значение частоты гистерезиса – на 5 стимулов в минуту ниже базовой частоты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Интревал поиска  Выкл., 5, 10, 15,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интервенции  1-10;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Подсчёт циклов  1-3;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покоя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Выкл.; 30–130 с шагом не более 5, 140,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синхронизации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90–130 с шагом не более 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140–180 с шагом не более 10; 110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задержка  25;30-200 с шагом не более 10; 225-325 с шагом не более 25;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PV задержка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25; 30-200 с шагом не более 10;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225–325 с шагом не более 25;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Короткая AV/PV задержка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30–50 с шагом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60–120 с шагом не более 10; 70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рефрактер</w:t>
            </w:r>
            <w:r>
              <w:rPr>
                <w:rFonts w:ascii="Times New Roman" w:hAnsi="Times New Roman"/>
                <w:sz w:val="24"/>
                <w:szCs w:val="24"/>
              </w:rPr>
              <w:t>ный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125–500 с шагом не более 25; 250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Постжелудочковый предсердный рефрактерный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125–500 с шагом не более 25; 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слепой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12-52 с шагом не более 4; 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 защиты от помех (мс)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 защиты предсердий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</w:t>
            </w:r>
            <w:r>
              <w:rPr>
                <w:rFonts w:ascii="Times New Roman" w:hAnsi="Times New Roman"/>
                <w:sz w:val="24"/>
                <w:szCs w:val="24"/>
              </w:rPr>
              <w:t>овый автозахват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Вкл,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дополнительного страхующего стимула Монополярная,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амплитуда 0.0–4.0 с шагом не более 0.25;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4.5–7.5 с шагом не более 0.5; 3.5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желудочкового импульса 0.05; 0.1–1.5 с шагом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0.1; 0.4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чувствительность  0.5–5.0 с шагом не более  0.5;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6–10 с шагом не более 1.0; 12.5; 2.0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желудочкового импульса Монополярная (кончик-корпус), биполярная (кончик-кольцо).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Конфигурация чувствительности Монополярная  (кончик-</w:t>
            </w:r>
            <w:r>
              <w:rPr>
                <w:rFonts w:ascii="Times New Roman" w:hAnsi="Times New Roman"/>
                <w:sz w:val="24"/>
                <w:szCs w:val="24"/>
              </w:rPr>
              <w:t>корпус), биполярная (кончик-кольцо), монополярная (кольцо-корпус)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 0.1; 0.2; 0.3; 0.4; 0.5; 0.75; 1.0; 1.25; 1.5; 1.75; 2,0; 2,5; 3,0; 3,5; 4,0; 5,0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автоматического переключения режима стимуляции AMS с независимым прогр</w:t>
            </w:r>
            <w:r>
              <w:rPr>
                <w:rFonts w:ascii="Times New Roman" w:hAnsi="Times New Roman"/>
                <w:sz w:val="24"/>
                <w:szCs w:val="24"/>
              </w:rPr>
              <w:t>аммированием частотной адаптации (сенсора) для каждого из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Выкл, DDDR в DDIR; DDD в DDI; VDDR в VVIR; VDD в VVI; DDDR в DDI; DDD в DDIR; VDDR в VVI; VDD в VVIR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AMS базовый режим Базовый режим +0 в базовый режим +35 с шагом 5;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Сенсор Вкл., выкл., </w:t>
            </w:r>
            <w:r>
              <w:rPr>
                <w:rFonts w:ascii="Times New Roman" w:hAnsi="Times New Roman"/>
                <w:sz w:val="24"/>
                <w:szCs w:val="24"/>
              </w:rPr>
              <w:t>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сенсора 80-150 с шагом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160-180 с шагом не более 10;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сенсора Авто (-0.5); авто (+0.0); авто (+0.5); авто (+1.0); авто (+1.5); авто +(2.0); 1-7 с шагом не более 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Слоуп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 (-1); авто (+0);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(+1); авто (+2); авто (+3); 1-16;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реакции сенсора Очень быстро,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возврата сенсора Очень быстро,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магнита Выкл.,  проверка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 детекции предсердной тахикардии 110–150 с шагом </w:t>
            </w:r>
            <w:r>
              <w:rPr>
                <w:rFonts w:ascii="Times New Roman" w:hAnsi="Times New Roman"/>
                <w:sz w:val="24"/>
                <w:szCs w:val="24"/>
              </w:rPr>
              <w:t>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160–200 с шагом не более 10;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225–300 с шагом не более 25; 225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Постжелудочковый предсердный слепой период 60; 70; 80; 85; 95; 100; 110; 115; 125; 130; 140;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150; 155; 165; 170; 180; 185; 195; 200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безопасной стимуляции желудочков Выкл, </w:t>
            </w:r>
            <w:r>
              <w:rPr>
                <w:rFonts w:ascii="Times New Roman" w:hAnsi="Times New Roman"/>
                <w:sz w:val="24"/>
                <w:szCs w:val="24"/>
              </w:rPr>
              <w:t>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PVC опции Выкл; +PVARP на  PVC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PMT опции  Выкл; 10 ударов &gt; PMT; автодетекция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PMT ритм детекции 90-150 с шагом 5; 160-180 с шагом 10;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электрода Униполярный, биполярный, униполярный/биполярный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Не более 44x52x6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 более 23,5 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Не более 11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Расчётный срок службы батареи Не менее 12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соответствия (декларация) ГОСТ РФ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Минздравсоцразвития (Минздрава) России Наличие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156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двухкамерный имплантируемый Sensia SEDR01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Режимы работы: DDDR,DDD,DDIR,DDI,DVIR,DVI, DOOR, DOO, VDD, VVIR, VVI, VVT, VOOR, VOO, AAIR, AAI, AAT, AOOR, AOO, OVO, OAO; разъем IS-1 уни- или биполярный; полярность стимуляции/чувствительности: моно/биполярные, 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возможность стимуляции с частотой от 30 до 180 уд/мин; вес 27,1 г., габаритные размеры 44,7x47,9x7,5 мм, срок эксплуатации не менее 9,4 лет (включен алгоритм поиска собственного АВ-проведения, 50% стимуляция); Функциональные характеристики: Частотно-адапти</w:t>
            </w:r>
            <w:r>
              <w:rPr>
                <w:rFonts w:ascii="Times New Roman" w:hAnsi="Times New Roman"/>
                <w:sz w:val="24"/>
                <w:szCs w:val="24"/>
              </w:rPr>
              <w:t>вный АВ-интервал (SAV/PAV) с раздельным программированием частоты старта/остановки; Автоматический ПЖПРП (до 500 мс), автоматическое управление захватом предсердий и желудочков, автоматический контроль  импеданса и полярности стимуляции в предсердии и желу</w:t>
            </w:r>
            <w:r>
              <w:rPr>
                <w:rFonts w:ascii="Times New Roman" w:hAnsi="Times New Roman"/>
                <w:sz w:val="24"/>
                <w:szCs w:val="24"/>
              </w:rPr>
              <w:t>дочке, автоматический поиск собственного АВ-проведения с целью снижения нежелательной стимуляции желудочков (с увеличением интервалов SAV/PAV до 600 мс), автоматическая детекция имплантации, автоматическое определение амплитуды сигналов собственной электри</w:t>
            </w:r>
            <w:r>
              <w:rPr>
                <w:rFonts w:ascii="Times New Roman" w:hAnsi="Times New Roman"/>
                <w:sz w:val="24"/>
                <w:szCs w:val="24"/>
              </w:rPr>
              <w:t>ческой активности сердца и адаптация уровня чувствительности. Возможность автоматической настройки двух независимых зон частотной адаптации, наличие телеметрии, автоматический переключение режима стимуляции без отслеживания предсердий во время приступа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дсердной тахикардии, функции сна, однокамерного гистерезиса, дополнительные функции безопасности пациента: безопасная стимуляция желудочков, ответ на экстрасистолию; защита от пейсмекер-индуцированной тахикардии.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раздельного программирования со</w:t>
            </w:r>
            <w:r>
              <w:rPr>
                <w:rFonts w:ascii="Times New Roman" w:hAnsi="Times New Roman"/>
                <w:sz w:val="24"/>
                <w:szCs w:val="24"/>
              </w:rPr>
              <w:t>бственной и стимулированной АВ-задержки. Диагностические функции: гистограмма частоты, гистограмма АВ-проведения, гистограмма режима поиска собственного АВ-проведения, профиль частоты отслеживания сенсором, адаптация под ежедневную активность пациента, сче</w:t>
            </w:r>
            <w:r>
              <w:rPr>
                <w:rFonts w:ascii="Times New Roman" w:hAnsi="Times New Roman"/>
                <w:sz w:val="24"/>
                <w:szCs w:val="24"/>
              </w:rPr>
              <w:t>тчик эпизодов высокой ЧСС с записью ЭГМ до 24 секунд, возможность записи ЭГМ до 4 эпизодов, монитор электрода с автопереключением полярности. Возможность демонстрации информации о пациенте, состояния ЭКС и электродов на одном экране. Возможность предоставл</w:t>
            </w:r>
            <w:r>
              <w:rPr>
                <w:rFonts w:ascii="Times New Roman" w:hAnsi="Times New Roman"/>
                <w:sz w:val="24"/>
                <w:szCs w:val="24"/>
              </w:rPr>
              <w:t>ения рекомендаций по оптимальному подбору режимов стимуляции на основе данных о состоянии пациента. Тестирование в автоматическом и мануальном режимах продолжительности и амплитуды импульса, порога стимуляции, собственного ритма, теста с  физической нагруз</w:t>
            </w:r>
            <w:r>
              <w:rPr>
                <w:rFonts w:ascii="Times New Roman" w:hAnsi="Times New Roman"/>
                <w:sz w:val="24"/>
                <w:szCs w:val="24"/>
              </w:rPr>
              <w:t>кой. Возможность распечатки данных на листе А4, сохранения на диске. Наличие русифицированной версии программного обеспечения программатора и ЭКС.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0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CapSure Fix Novus 5076-52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стимуляционный электрод </w:t>
            </w:r>
            <w:r>
              <w:rPr>
                <w:rFonts w:ascii="Times New Roman" w:hAnsi="Times New Roman"/>
                <w:sz w:val="24"/>
                <w:szCs w:val="24"/>
              </w:rPr>
              <w:t>со стероидным наполнителем; биполярный; активная фиксация в предсердии; 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более 10 мм, силиконовая и</w:t>
            </w:r>
            <w:r>
              <w:rPr>
                <w:rFonts w:ascii="Times New Roman" w:hAnsi="Times New Roman"/>
                <w:sz w:val="24"/>
                <w:szCs w:val="24"/>
              </w:rPr>
              <w:t>золяция; диаметр не более 6,1 Fr (2.0мм); длина не более 52 см; коннектор IS-1 BI; Стилеты в комплекте. Стерильная упаковка, количество в упаковке: 1 шт.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0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CapSure Fix Novus 5076-58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стимуляционный </w:t>
            </w:r>
            <w:r>
              <w:rPr>
                <w:rFonts w:ascii="Times New Roman" w:hAnsi="Times New Roman"/>
                <w:sz w:val="24"/>
                <w:szCs w:val="24"/>
              </w:rPr>
              <w:t>электрод со стероидным наполнителем; биполярный; активная фиксация в желудочке; 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более 10 мм, силик</w:t>
            </w:r>
            <w:r>
              <w:rPr>
                <w:rFonts w:ascii="Times New Roman" w:hAnsi="Times New Roman"/>
                <w:sz w:val="24"/>
                <w:szCs w:val="24"/>
              </w:rPr>
              <w:t>оновая изоляция; диаметр не более 6,1 Fr (2.0мм); длина не более 58 см; коннектор IS-1 BI; Стилеты в комплекте. Стерильная упаковка, количество в упаковке: 1 шт.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21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имплантируемый IsoFlex Optim 6,5F, длина 52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Эндокардиальный предсердный биполярный электрод с пассивной фиксацией. Длина: 52 см. Наружный диаметр: 6,5 Френч. Коннектор IS-1 биполярный. Стероидный. Фиксация: Пассивная. Материал проксимального полюса: Платино-иридиевый сплав, с фрактальной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t>ю. Материал изоляции: Силикон+полиуретан.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6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разрывной, диаметр 10F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Разрывной интродюсер, диаметр: 10 F.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0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Электрод биполярный постоянный для электрокардиостимуляторов "ЭЛБИ" 8,5 Fr, длина 53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Электрод эндокардиальный </w:t>
            </w:r>
            <w:r>
              <w:rPr>
                <w:rFonts w:ascii="Times New Roman" w:hAnsi="Times New Roman"/>
                <w:sz w:val="24"/>
                <w:szCs w:val="24"/>
              </w:rPr>
              <w:t>биполярный постоянный предсердный стероидный с пассивной  фиксацией. Полярность:  биполярный.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</w:t>
            </w:r>
            <w:r>
              <w:rPr>
                <w:rFonts w:ascii="Times New Roman" w:hAnsi="Times New Roman"/>
                <w:sz w:val="24"/>
                <w:szCs w:val="24"/>
              </w:rPr>
              <w:t>ом: 12 мм. Изолятор: силиконовая резина. Длина электрода: 53 см.  Стандарт коннектора: IS-1 Bi (3,2). Лекарственное покрытие: Стероид – дексаметазон, 0,65 мг. Максимальный диаметр: 8,5 Fr.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27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Электрод биполярный постоянный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электрокардиостимуляторов "ЭЛБИ" 8,5 Fr, длина 58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желудочковый стероидный пассивной фиксации. Полярность: биполярный. Фиксация: пассивная. Материал катода: платина. Покрытие катода: оксид иридия. Материал анода: титан</w:t>
            </w:r>
            <w:r>
              <w:rPr>
                <w:rFonts w:ascii="Times New Roman" w:hAnsi="Times New Roman"/>
                <w:sz w:val="24"/>
                <w:szCs w:val="24"/>
              </w:rPr>
              <w:t>. Покрытие анода: оксид иридия. Расстояние между катодом и анодом: 12 мм. Изолятор: силиконовая резина. Длина электрода: 58 см. Стандарт коннектора: IS-1 Bi (3,2). Лекарственное покрытие: дексаметазон, 0,65 мг. Максимальный диаметр: 8,5 Fr.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162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типа DDD ЭКС-454 DDD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Двухкамерный электрокардиостимулятор DDD биполярный телеметрический с антитахикардическими функциями. Режимы стимуляции: VVI, VVT, VOO, AAI, AAT, AOO, DDD, DDT, VDD, VDT, DVI, DVT, DD</w:t>
            </w:r>
            <w:r>
              <w:rPr>
                <w:rFonts w:ascii="Times New Roman" w:hAnsi="Times New Roman"/>
                <w:sz w:val="24"/>
                <w:szCs w:val="24"/>
              </w:rPr>
              <w:t>I,DDI/T, DOO, ODO, OVO, OAO. Минимизация желудочковой стимуляции (МЖС): выкл/вкл. Частота стимуляции, имп/мин: от 30 до160.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стимулов А- и V-каналов, В: от 0.5 до 8,0. Длительность стимулов А- и V-каналов, мс: от 0,1 до 1,0. Чувствительность по А-</w:t>
            </w:r>
            <w:r>
              <w:rPr>
                <w:rFonts w:ascii="Times New Roman" w:hAnsi="Times New Roman"/>
                <w:sz w:val="24"/>
                <w:szCs w:val="24"/>
              </w:rPr>
              <w:t>каналу, мВ: 0,3; 0,6; 0,9; 1,2; 1,5; 1,8; 2,1; 2,4; 2,7; 3,0; 3,3; 3,6; 3,9; 4,2; 4,5; 4,8 (16 значений). Чувствительность по V-каналу, мВ: 0,6; 1,2; 1,8; 2,4; 3,0; 3,6; 4,2; 4,8; 5,4; 6,0; 6,6; 7,2; 7,8; 8,4; 9,0; 9,6 (16 значений).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Гистерезис А канала, м</w:t>
            </w:r>
            <w:r>
              <w:rPr>
                <w:rFonts w:ascii="Times New Roman" w:hAnsi="Times New Roman"/>
                <w:sz w:val="24"/>
                <w:szCs w:val="24"/>
              </w:rPr>
              <w:t>с: от 0 до 400 с шагом 50. Слепой период по предсердному каналу: от 60 до 200 мс, с шагом 20 мс. Слепой период по желудочковому каналу: от 20 до 70 мс, с шагом 5 мс. Функция поиска собственной активности: ВЫКЛ/ от 2 до 8 с шагом 1. АV задержка, мс: от 40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340 мс, с шагом 20 мс. Динамическая A-V задержка: ВЫКЛ, длинная, средняя, короткая. Максимальная частота синхронизации (МЧС): 80-180 имп/мин с шагом 5 имп/мин. Гистерезис AV/PV  задержки, мс: ВЫКЛ/20, 40, 60, 80, 100, 120. Повторный гистерезис: ВЫКЛ/ от </w:t>
            </w:r>
            <w:r>
              <w:rPr>
                <w:rFonts w:ascii="Times New Roman" w:hAnsi="Times New Roman"/>
                <w:sz w:val="24"/>
                <w:szCs w:val="24"/>
              </w:rPr>
              <w:t>2 до 8 с шагом 1. Частота распознавания предсердной тахикардии (ЧРПТ): 100-300 имп/мин, с шагом 10 имп/мин. Повторный гистерезис: ВЫКЛ/ от 2 до 8 с шагом 1. Функция автоматического переключения режима стимуляции (Auto Switch Mode): ВЫКЛ, медленное, быстрое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Купирование пейсмейкерной тахикардии: выкл/вкл. Ответ на преждевременное желудочковое сокращение: выкл/вкл.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Распознавание перекрестного восприятия (безопасная стимуляция   желудочков): выкл/вкл. Имеется в наличии функция безопасной стимуляции желудочков.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Временные функции: выключение стимуляции; включение маркеров; включение частоты 30 имп/мин; магнитный тест; измерение порога стимуляции по амплитуде (3,0; 5,0; 8,0 В); определение порога стимуляции на рабочей частоте. Телеметрическая информация: 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пациенте (ФИО, год рождения, диагноз, номер истории болезни); тип и модель электрода; сведения об ЭКС (модель, серийный номер, изготовитель, дата и место имплантации); дата последнего осмотра; состояние батареи  (напряжение, оставшийся срок службы в мес</w:t>
            </w:r>
            <w:r>
              <w:rPr>
                <w:rFonts w:ascii="Times New Roman" w:hAnsi="Times New Roman"/>
                <w:sz w:val="24"/>
                <w:szCs w:val="24"/>
              </w:rPr>
              <w:t>яцах, время  работы); полярность электродов; параметры стимулятора; маркеры стимулов и воспринятых сокращений; внутрисердечная электрограмма (ВЭГ); гистограмма частот и сокращений; количество автоматических переключений режима стимуляции;  время работы в М</w:t>
            </w:r>
            <w:r>
              <w:rPr>
                <w:rFonts w:ascii="Times New Roman" w:hAnsi="Times New Roman"/>
                <w:sz w:val="24"/>
                <w:szCs w:val="24"/>
              </w:rPr>
              <w:t>ЧС; время сбора статистики. Тип разъема: IS-1 BI (3,2 мм). Фиксация коннекторной части: фиксация электродов одним винтом. Масса, г: 32.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00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Altrua 40 DR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характеристика. Масса (г), не </w:t>
            </w:r>
            <w:r>
              <w:rPr>
                <w:rFonts w:ascii="Times New Roman" w:hAnsi="Times New Roman"/>
                <w:sz w:val="24"/>
                <w:szCs w:val="24"/>
              </w:rPr>
              <w:t>более: 25,4. Объем (см3), не более:10,8.  Стандарт коннекторов. Режимы стимуляции: DDD (R);DDI (R);DOO (R); VDD; VVT; VVI (R); VOO (R), AAT; AAI (R); AOO (R). Размеры (высота/ширина/толщина) (мм), не более 44 х 42 х 8. Тип датчика (сенсора) частотной адапт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ации. Акселерометр: Наличие. Минутная вентиляция: Наличие. Функция смешивания показателей двух сенсоров: акселерометра и минутной вентиляции: Наличие. Терапевтические возможности. Максимальная  частота синхронизации (имп./мин), не менее: 185. Максимальная </w:t>
            </w:r>
            <w:r>
              <w:rPr>
                <w:rFonts w:ascii="Times New Roman" w:hAnsi="Times New Roman"/>
                <w:sz w:val="24"/>
                <w:szCs w:val="24"/>
              </w:rPr>
              <w:t>сенсорная частота (имп./мин), не менее: 185. Диапазон амплитуды импульса по предсердному каналу, (В), не менее: 0,1-6,5. Программируемое и автоматическое регулирование амплитуды импульса по желудочковому каналу: Наличие. Диапазон амплитуды импульса по желу</w:t>
            </w:r>
            <w:r>
              <w:rPr>
                <w:rFonts w:ascii="Times New Roman" w:hAnsi="Times New Roman"/>
                <w:sz w:val="24"/>
                <w:szCs w:val="24"/>
              </w:rPr>
              <w:t>дочковому каналу, (В), не менее: 0,1-6,5. Частотный гистерезис с поиском. Возможность «работы»  в двухкамерном режиме и в условиях частотной адаптации с «мягким» поиском спонтанного проведения: Наличие. Функция сглаживания изменений частоты стимуляции (воз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можность сглаживания изменений частоты стимуляции и при снижении ритма, и при учащении ритма): Наличие. Автоматическое переключение полярности электрода с биполярной на монополярную при выявлении критических показателей импеданса: Наличие. АВ задержка 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ированная: Наличие. Динамическая АВ задержка с линейным изменением значения: Наличие. Сдвиг АВ задержки при восприятии спонтанного сигнала: Наличие. Поиск спонтанного АВ проведения: Наличие.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Максимальная АВ задержка (мс), не менее:300. Поиск спонтанного 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(программируемый интервал поиска, программируемое увеличение АВ задержки, адаптация удлинения к реально измеренному интервалу: Наличие. Постжелудочковый предсердный рефрактерный период (ПЖПРП) (фиксированный и динамический): Наличие. ПЖПРП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воспринятого преждевременного желудочкового/предсердного  сокращения, (мс) не менее: 500. Алгоритм купирования пейсмейкерной тахикардии: Наличие. Реакция на воспринятые предсердные аритмии: Наличие. Программируемый вариант переключения режима стимуляции </w:t>
            </w:r>
            <w:r>
              <w:rPr>
                <w:rFonts w:ascii="Times New Roman" w:hAnsi="Times New Roman"/>
                <w:sz w:val="24"/>
                <w:szCs w:val="24"/>
              </w:rPr>
              <w:t>(медленный). Частотная адаптация на период переключения режима стимуляции (независимое программирование): Наличие. Плавное снижение частоты стимуляции при переключении режима стимуляции: Наличие. Независимое программирование нижней границы частоты стимуляц</w:t>
            </w:r>
            <w:r>
              <w:rPr>
                <w:rFonts w:ascii="Times New Roman" w:hAnsi="Times New Roman"/>
                <w:sz w:val="24"/>
                <w:szCs w:val="24"/>
              </w:rPr>
              <w:t>ии при переключении режима стимуляции: Наличие. Реакция на воспринятое трепетание предсердий - переключение в пределах одного кардиоцикла (быстрый вариант переключения): Наличие. Предпочтение предсердной  стимуляции: Наличие. Реакция на внезапную брадикард</w:t>
            </w:r>
            <w:r>
              <w:rPr>
                <w:rFonts w:ascii="Times New Roman" w:hAnsi="Times New Roman"/>
                <w:sz w:val="24"/>
                <w:szCs w:val="24"/>
              </w:rPr>
              <w:t>ию: Наличие. Алгоритм для предотвращения  развития  фибрилляции предсердий: Наличие. Регулирование частоты сокращений желудочков при фибрилляции предсердий и сохраненной АВ проводимости: Наличие. Диагностические  функции. Введение в память стимулятора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рмации  о пациенте  и системе с возможностью последующего просмотра и распечатки: Наличие. Запись ЭКГ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ВЭГМ (предсердная и желудочковая)  в реальном масштабе времени с печатью (маркеры, интервалы): Наличие. Оценка состояния источника питания с  визуализац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ией графика и указанием остаточного срока службы: Наличие. Запись ЭКГ с расширенными маркерами: Наличие. Запись ЭКГ и ВЭГМ - моментальных  фрагментов с  последующим просмотром и печатью (маркеры, интервалы). Запись 4 фрагментов для последующего просмотра: </w:t>
            </w:r>
            <w:r>
              <w:rPr>
                <w:rFonts w:ascii="Times New Roman" w:hAnsi="Times New Roman"/>
                <w:sz w:val="24"/>
                <w:szCs w:val="24"/>
              </w:rPr>
              <w:t>Наличие. Запись в памяти ВЭГМ с предшествующим отрезком времени и маркерами по двум каналам, не менее (с),  включена по умолчанию,  не влияет на  указываемый срок службы КС:100. Запись событий соответственно не менее, чем 7 триггерам: Наличие. Журнал регис</w:t>
            </w:r>
            <w:r>
              <w:rPr>
                <w:rFonts w:ascii="Times New Roman" w:hAnsi="Times New Roman"/>
                <w:sz w:val="24"/>
                <w:szCs w:val="24"/>
              </w:rPr>
              <w:t>трации аритмий, с сохранением информации, не менее (событий):40. Гистограммы (навязанных и спонтанных сокращений, АВ гистограммы): Наличие. Счетчики (характеристики переключения режимов стимуляции, желудочковых и предсердных  экстрасистол, характеристика 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ффективности частотного гистерезиса и гистерезиса АВ проведения,  вариабельность желудочковых интервалов): Наличие. Тренды частотные с указанием начала и длительности записи: Наличие. Тренды чувствительности: Наличие. Моделирование частотной реакции при из</w:t>
            </w:r>
            <w:r>
              <w:rPr>
                <w:rFonts w:ascii="Times New Roman" w:hAnsi="Times New Roman"/>
                <w:sz w:val="24"/>
                <w:szCs w:val="24"/>
              </w:rPr>
              <w:t>менении параметров частотной адаптации: Наличие. Регистрация активности по интенсивности, времени и частоте выполнения: Наличие. Измерение порога стимуляции Полуавтоматический тест, выполняемый по амплитуде и /или ДИ: Наличие. Ежедневные измерения: амплиту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 волн P и/или R,  измерение  импеданса  электродов: Наличие.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информации об ежедневных измерениях, не менее (мес.): Наличие, 12. Проведение  тестов в интерактивном варианте: Наличие. Функция «Ускоренная проверка» с регулируемыми вариантами про</w:t>
            </w:r>
            <w:r>
              <w:rPr>
                <w:rFonts w:ascii="Times New Roman" w:hAnsi="Times New Roman"/>
                <w:sz w:val="24"/>
                <w:szCs w:val="24"/>
              </w:rPr>
              <w:t>смотра и записи: Наличие. Неинвазивное электрофизиологическое исследование (посредством только программатора): Наличие. Временная программа с возможностью изменения параметров  и значений  постоянной программы: Наличие. Сроки службы при следующих условиях: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 стимуляция по обоим каналам, не менее (лет): 5. Набор эндокардиальных электродов. Предсердный: Один на комплект. Желудочковый: Один на комплект. Дополнительные условия. Общие требования к электродам: Биполярный: Наличие. Со стероидным  включением: На</w:t>
            </w:r>
            <w:r>
              <w:rPr>
                <w:rFonts w:ascii="Times New Roman" w:hAnsi="Times New Roman"/>
                <w:sz w:val="24"/>
                <w:szCs w:val="24"/>
              </w:rPr>
              <w:t>личие. Гарантийный срок на эндокардиальные электроды пожизненный: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предсердным электродам: - Тип электрода: Прямой. - Вариант фиксации: Активная. - Длина, (см), не менее: 52. Требования к желудочковым электродам: - Тип электрода: Прямо</w:t>
            </w:r>
            <w:r>
              <w:rPr>
                <w:rFonts w:ascii="Times New Roman" w:hAnsi="Times New Roman"/>
                <w:sz w:val="24"/>
                <w:szCs w:val="24"/>
              </w:rPr>
              <w:t>й. - Вариант фиксации: Активная. - Длина, (см), не менее: 58. Минимальный размер интродьюсера, (F):8. Интродьюсер входит в комплект, (шт.): 2.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21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имплантируемый IsoFlex Optim 6,5F, длина 58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</w:t>
            </w:r>
            <w:r>
              <w:rPr>
                <w:rFonts w:ascii="Times New Roman" w:hAnsi="Times New Roman"/>
                <w:sz w:val="24"/>
                <w:szCs w:val="24"/>
              </w:rPr>
              <w:t>желудочковый биполярный электрод с пассивной фиксацией. Длина: 58 см. Наружный диаметр: 6,5 Френч. Коннектор IS-1 биполярный. Стероидный. Фиксация:  Пассивная. Материал проксимального полюса: Платино-иридиевый сплав, с фрактальной поверхностью. Материал из</w:t>
            </w:r>
            <w:r>
              <w:rPr>
                <w:rFonts w:ascii="Times New Roman" w:hAnsi="Times New Roman"/>
                <w:sz w:val="24"/>
                <w:szCs w:val="24"/>
              </w:rPr>
              <w:t>оляции: Силикон+полиуретан.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0015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Vitatron E50 D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r>
              <w:rPr>
                <w:rFonts w:ascii="Times New Roman" w:hAnsi="Times New Roman"/>
                <w:sz w:val="24"/>
                <w:szCs w:val="24"/>
              </w:rPr>
              <w:t>Механические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E50A1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ВхШхД, мм 44,7 х 47,9 х 7,5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 27,1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см3 12,1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 IS-1 BI или UNI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Рентгеноконтрастная идентификация VG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Батарея Тип Литий-йодная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2,8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Предполагаемая средняя емкость 1,3 А/ч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Без функции Reduced VP™+ 11,3 года*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функцией Reduced VP™+ 12,0 лет**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Электрокардиостимуляция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</w:t>
            </w:r>
            <w:r>
              <w:rPr>
                <w:rFonts w:ascii="Times New Roman" w:hAnsi="Times New Roman"/>
                <w:sz w:val="24"/>
                <w:szCs w:val="24"/>
              </w:rPr>
              <w:t>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 DDD, DDI, DVI, DOO, VDD, VVIR, VDIR, VVI,  VDI, VVT, VOOR, VOO, AAIR, ADIR, AAI, ADI, AAT, AOOR, AOO, ODO, OVO, OAO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Переключение режима 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Нижняя базовая частота 30, 35, 40...60...175 мин-1 (кроме 65, 85)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</w:t>
            </w:r>
            <w:r>
              <w:rPr>
                <w:rFonts w:ascii="Times New Roman" w:hAnsi="Times New Roman"/>
                <w:sz w:val="24"/>
                <w:szCs w:val="24"/>
              </w:rPr>
              <w:t>мальная частота отслеживанияa 80, 90, 95...130...180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частота сенсора 80, 90, 95...130...180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импульсаb  П и ПЖ  0,5; 0,75; 1,0...3,5...4; 4,5; 5; 5,5; 6; 7,5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импульса  П и ПЖ  0,12; 0,15;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0,21; 0,27; 0,34; 0,4</w:t>
            </w:r>
            <w:r>
              <w:rPr>
                <w:rFonts w:ascii="Times New Roman" w:hAnsi="Times New Roman"/>
                <w:sz w:val="24"/>
                <w:szCs w:val="24"/>
              </w:rPr>
              <w:t>; 0,46;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0,52; 0,64; 0,76; 1; 1,25; 1,5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 0,18; 0,25; 0,35; 0,5; 0,7; 1; 1,4; 2; 2,8; 4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 чувствительность  1; 1,4; 2; 2,8; 4; 5,6; 8; 11,2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стимуляции (П и Ж) Биполярная, монополярная, настраива</w:t>
            </w:r>
            <w:r>
              <w:rPr>
                <w:rFonts w:ascii="Times New Roman" w:hAnsi="Times New Roman"/>
                <w:sz w:val="24"/>
                <w:szCs w:val="24"/>
              </w:rPr>
              <w:t>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чувствительности (П и Ж) Биполярная, монополярная, настраиваемая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Стимулированный АВ (САВ) 30, 40, 50 ...150...350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Воспринятый АВ (ВАВ) 30, 40, 50 ...120...350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ПЖПРП Авто, перемен., 150, 160, 170 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ПЖПРП 150, 160</w:t>
            </w:r>
            <w:r>
              <w:rPr>
                <w:rFonts w:ascii="Times New Roman" w:hAnsi="Times New Roman"/>
                <w:sz w:val="24"/>
                <w:szCs w:val="24"/>
              </w:rPr>
              <w:t>, 170...250...500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ПЖПСП    130, 140, 150...180...350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Предсердный рефрактерный период 180, 190, 200...250...500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Предсердный слепой период 130, 140, 150...180...350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рефрактерный период 150, 160, 170...230...500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с</w:t>
            </w:r>
            <w:r>
              <w:rPr>
                <w:rFonts w:ascii="Times New Roman" w:hAnsi="Times New Roman"/>
                <w:sz w:val="24"/>
                <w:szCs w:val="24"/>
              </w:rPr>
              <w:t>лепой период (после предсердной стимуляции) (ППЖСП)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20, 28, 36, 44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Терапии для поддержания собственного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Reduced VP™+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увеличение к АВ 10, 20, 30...170...250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«Сон»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во время сна 30, 35, 40...5</w:t>
            </w:r>
            <w:r>
              <w:rPr>
                <w:rFonts w:ascii="Times New Roman" w:hAnsi="Times New Roman"/>
                <w:sz w:val="24"/>
                <w:szCs w:val="24"/>
              </w:rPr>
              <w:t>0...90 мин-1 (кроме 65, 85)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отхода ко сну 00:00, 00:15, 00:30... 22:00...23:45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пробуждения 00:00, 00:15, 00:30... 8:00...23:45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гистерезис Выкл., 40, 50, 60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Частотная адаптация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при повседневной активности 60, 65, 70..</w:t>
            </w:r>
            <w:r>
              <w:rPr>
                <w:rFonts w:ascii="Times New Roman" w:hAnsi="Times New Roman"/>
                <w:sz w:val="24"/>
                <w:szCs w:val="24"/>
              </w:rPr>
              <w:t>.95...175, 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оптимизации частоты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на повс. активность 1, 2, 3, 4,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на физ. нагрузку 1, 2, 3, 4,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активности Низкий, средне-низкий, средне-высокий, высокий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Ускорение 15 с, 30 с, 60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Замедление 2,5 мин, 5 мин, </w:t>
            </w:r>
            <w:r>
              <w:rPr>
                <w:rFonts w:ascii="Times New Roman" w:hAnsi="Times New Roman"/>
                <w:sz w:val="24"/>
                <w:szCs w:val="24"/>
              </w:rPr>
              <w:t>10 мин, упражнения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ЧААВ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Начальная частота 50, 55, 60...80...175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Конечная частота 55, 60, 65...120...180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смещение -10, -20, -30...-40...-300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функции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Вмешательство при ЭЗТ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</w:t>
            </w:r>
            <w:r>
              <w:rPr>
                <w:rFonts w:ascii="Times New Roman" w:hAnsi="Times New Roman"/>
                <w:sz w:val="24"/>
                <w:szCs w:val="24"/>
              </w:rPr>
              <w:t>а ЖЭС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Безопасная стимуляция желудочков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Терапии и вмешательства при предсердных тахиаритмиях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Переключение режима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детекции 120, 125...175...200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Задержка до детекции Без задержки, 10, 20...60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трепет</w:t>
            </w:r>
            <w:r>
              <w:rPr>
                <w:rFonts w:ascii="Times New Roman" w:hAnsi="Times New Roman"/>
                <w:sz w:val="24"/>
                <w:szCs w:val="24"/>
              </w:rPr>
              <w:t>ания в слепом периоде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Конролируемый ответ на ФПc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Регуляризовать V-V во время ПТ/ФП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(мин-1) 80, 85, 90...110...130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Неконкурентная стимуляция предсердий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Автоматическая стимуляция, чувствительность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и мониторинг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 имплантации и инициализация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завершения 30-минутного периода детекции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включается Профиль оптимизации частоты; автоматически выбирается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подходящая полярность стимуляции и чувствительности; включается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я управления выходными параметрами желудочкового канала,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 длительность импульса становятся адаптирующимися.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Reduced VP™+ включается через 60 минут после окончания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детекции имплантации.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 имплантации Вкл./перезагрузка, выкл./завер</w:t>
            </w:r>
            <w:r>
              <w:rPr>
                <w:rFonts w:ascii="Times New Roman" w:hAnsi="Times New Roman"/>
                <w:sz w:val="24"/>
                <w:szCs w:val="24"/>
              </w:rPr>
              <w:t>шена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электродов (П и Ж) Настроить, только мониторинг,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адаптивный (автоматическая переключение полярности),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Сообщить, если &lt; 200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Сообщить, если &gt; 1000, 2000, 3000, 4000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чувствительности 2, 3, 4 ... 8 ... 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выход</w:t>
            </w:r>
            <w:r>
              <w:rPr>
                <w:rFonts w:ascii="Times New Roman" w:hAnsi="Times New Roman"/>
                <w:sz w:val="24"/>
                <w:szCs w:val="24"/>
              </w:rPr>
              <w:t>ными параметрами желудочкового 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выходными параметрами желудочкового канала Выкл., только мониторинг, адаптивный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запаса по амплитуде 1,5x; 2x; 2,5x; 3x; 4x (раз)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адаптируемая амплитуда 0,5; 0,75...2...3,5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 теста для сбора данных 15; 30 мин; 1; 2; 4; 8; 12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днем при отдыхе; днем в...; каждые 7 дней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теста для сбора данных 00:00, 1:00...23:00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Осталось дней острой фазы Выкл., 7, 14, 21...84, 112, 140, 168... 252 дн.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Ж. чувствительность во вре</w:t>
            </w:r>
            <w:r>
              <w:rPr>
                <w:rFonts w:ascii="Times New Roman" w:hAnsi="Times New Roman"/>
                <w:sz w:val="24"/>
                <w:szCs w:val="24"/>
              </w:rPr>
              <w:t>мя теста Монополярная, биполярная, адаптивная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Информационная панель кардиостимулятора 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Выделяет существенные события, сводные данные стимуляции,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тренды порога и импеданса, Тренды порогов стимуляции желудочков,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батареи, Статистик</w:t>
            </w:r>
            <w:r>
              <w:rPr>
                <w:rFonts w:ascii="Times New Roman" w:hAnsi="Times New Roman"/>
                <w:sz w:val="24"/>
                <w:szCs w:val="24"/>
              </w:rPr>
              <w:t>а стимуляции и доступ к гистограмме частоты ритма, Тренды импеданса электродов предсердия и желудочка, Наблюдения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Отчеты в виде гистограмм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частоты сердечных сокращений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АВ проведения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Reduced VP™+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частоты по пока</w:t>
            </w:r>
            <w:r>
              <w:rPr>
                <w:rFonts w:ascii="Times New Roman" w:hAnsi="Times New Roman"/>
                <w:sz w:val="24"/>
                <w:szCs w:val="24"/>
              </w:rPr>
              <w:t>заниям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и желудочковые эпизоды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и желудочковые эпизоды высокой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частота во время ПТ/ФП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ПТ/ФП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Множественные эпизоды ЭГМ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Виды диагностики, выбранные врачом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Пользовательский тренд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Свед</w:t>
            </w:r>
            <w:r>
              <w:rPr>
                <w:rFonts w:ascii="Times New Roman" w:hAnsi="Times New Roman"/>
                <w:sz w:val="24"/>
                <w:szCs w:val="24"/>
              </w:rPr>
              <w:t>ения об управлении выходными параметрами желудочкового  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Подробный отчет об эпизодах высокой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данными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Данные пациента, хранящиеся в устройстве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Идентификация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Имплантированные электроды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Имплантированное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Сохраненные примечания врача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данными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печать данных первичного опроса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Полностраничная печать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 данных на диск для электронного документооборота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осмотр и устранение неполадок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телеметрии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Транстелефонный монитор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Расширенная телеметрия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Расширенный маркер Стандарт, кривая отслеживания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История основных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Данные первичного опроса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порога «Амплитуда-длительность»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желудочкового порога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Marker Chann</w:t>
            </w:r>
            <w:r>
              <w:rPr>
                <w:rFonts w:ascii="Times New Roman" w:hAnsi="Times New Roman"/>
                <w:sz w:val="24"/>
                <w:szCs w:val="24"/>
              </w:rPr>
              <w:t>el™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запаса по порогу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с физической нагрузкой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спонтанного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чувствительности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Временный тест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в режиме магнита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НСС РВЗ/ИПЗ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Двухкамерный режим Режим DOO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предсердный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AOO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85 </w:t>
            </w:r>
            <w:r>
              <w:rPr>
                <w:rFonts w:ascii="Times New Roman" w:hAnsi="Times New Roman"/>
                <w:sz w:val="24"/>
                <w:szCs w:val="24"/>
              </w:rPr>
              <w:t>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желудочковый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VOO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РВЗ/ ИПЗ                     Дата начала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Рекомендуемое время замены (РВЗ/ИПЗ)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Сообщение о необходимости замены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(информационная панель кардиостимулятора II)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батарее/электроде Сообщение о необходимости замены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напряжение батареи, показанное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Дата начала работы РВЗ/ИПЗ Показано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Сноски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a Предел желудочковой и предсердной частоты — 200 мин-1 (±20 мин-1).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 Допуск для амплитуд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0,5 В до 6,0 В составляет ±10%, для 7,5 В —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-20/+0%. Величина допуска определена для 37°C и нагрузки 500 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определена в 200 мс после пороговой границы стимула.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 Ответ на проведен. ФП действует во время эпизодов переключения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режимов, режимов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WIR и VDIR.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* DDD, 60 имп/мин, 100% стимуляция, желудочковая 2,0 В, † предсердная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1,5 В, длительность импульса — † 0,4 мс,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импеданс стимуляции — 1000 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** Reduced VP™+ ВКЛ. 50% стимуляции.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† Минимальные адаптированные значения управления выходными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</w:t>
            </w:r>
            <w:r>
              <w:rPr>
                <w:rFonts w:ascii="Times New Roman" w:hAnsi="Times New Roman"/>
                <w:sz w:val="24"/>
                <w:szCs w:val="24"/>
              </w:rPr>
              <w:t>етрами желудочков при заводских настройках.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значения параметров выделены жирным шрифтом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D95C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  <w:tc>
          <w:tcPr>
            <w:tcW w:w="1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705"/>
        </w:trPr>
        <w:tc>
          <w:tcPr>
            <w:tcW w:w="11729" w:type="dxa"/>
            <w:gridSpan w:val="6"/>
            <w:shd w:val="clear" w:color="FFFFFF" w:fill="auto"/>
            <w:vAlign w:val="bottom"/>
          </w:tcPr>
          <w:p w:rsidR="00227D32" w:rsidRDefault="00227D32"/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563" w:type="dxa"/>
            <w:gridSpan w:val="9"/>
            <w:shd w:val="clear" w:color="FFFFFF" w:fill="auto"/>
            <w:vAlign w:val="bottom"/>
          </w:tcPr>
          <w:p w:rsidR="00227D32" w:rsidRDefault="00D95C74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75"/>
        </w:trPr>
        <w:tc>
          <w:tcPr>
            <w:tcW w:w="11729" w:type="dxa"/>
            <w:gridSpan w:val="6"/>
            <w:shd w:val="clear" w:color="FFFFFF" w:fill="auto"/>
            <w:vAlign w:val="bottom"/>
          </w:tcPr>
          <w:p w:rsidR="00227D32" w:rsidRDefault="00D95C74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55"/>
        </w:trPr>
        <w:tc>
          <w:tcPr>
            <w:tcW w:w="15037" w:type="dxa"/>
            <w:gridSpan w:val="8"/>
            <w:vMerge w:val="restart"/>
            <w:shd w:val="clear" w:color="FFFFFF" w:fill="auto"/>
            <w:vAlign w:val="bottom"/>
          </w:tcPr>
          <w:p w:rsidR="00227D32" w:rsidRDefault="00D95C74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дарственных закупок, тел. 220-16-04.</w:t>
            </w:r>
          </w:p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350"/>
        </w:trPr>
        <w:tc>
          <w:tcPr>
            <w:tcW w:w="15037" w:type="dxa"/>
            <w:gridSpan w:val="8"/>
            <w:shd w:val="clear" w:color="FFFFFF" w:fill="auto"/>
            <w:vAlign w:val="bottom"/>
          </w:tcPr>
          <w:p w:rsidR="00227D32" w:rsidRDefault="00D95C74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563" w:type="dxa"/>
            <w:gridSpan w:val="9"/>
            <w:shd w:val="clear" w:color="FFFFFF" w:fill="auto"/>
            <w:vAlign w:val="bottom"/>
          </w:tcPr>
          <w:p w:rsidR="00227D32" w:rsidRDefault="00D95C7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225"/>
        </w:trPr>
        <w:tc>
          <w:tcPr>
            <w:tcW w:w="540" w:type="dxa"/>
            <w:shd w:val="clear" w:color="FFFFFF" w:fill="auto"/>
            <w:vAlign w:val="bottom"/>
          </w:tcPr>
          <w:p w:rsidR="00227D32" w:rsidRDefault="00227D32"/>
        </w:tc>
        <w:tc>
          <w:tcPr>
            <w:tcW w:w="3193" w:type="dxa"/>
            <w:shd w:val="clear" w:color="FFFFFF" w:fill="auto"/>
            <w:vAlign w:val="bottom"/>
          </w:tcPr>
          <w:p w:rsidR="00227D32" w:rsidRDefault="00227D32"/>
        </w:tc>
        <w:tc>
          <w:tcPr>
            <w:tcW w:w="4942" w:type="dxa"/>
            <w:shd w:val="clear" w:color="FFFFFF" w:fill="auto"/>
            <w:vAlign w:val="bottom"/>
          </w:tcPr>
          <w:p w:rsidR="00227D32" w:rsidRDefault="00227D32"/>
        </w:tc>
        <w:tc>
          <w:tcPr>
            <w:tcW w:w="73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076" w:type="dxa"/>
            <w:shd w:val="clear" w:color="FFFFFF" w:fill="auto"/>
            <w:vAlign w:val="bottom"/>
          </w:tcPr>
          <w:p w:rsidR="00227D32" w:rsidRDefault="00227D32"/>
        </w:tc>
        <w:tc>
          <w:tcPr>
            <w:tcW w:w="124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225"/>
        </w:trPr>
        <w:tc>
          <w:tcPr>
            <w:tcW w:w="540" w:type="dxa"/>
            <w:shd w:val="clear" w:color="FFFFFF" w:fill="auto"/>
            <w:vAlign w:val="bottom"/>
          </w:tcPr>
          <w:p w:rsidR="00227D32" w:rsidRDefault="00227D32"/>
        </w:tc>
        <w:tc>
          <w:tcPr>
            <w:tcW w:w="3193" w:type="dxa"/>
            <w:shd w:val="clear" w:color="FFFFFF" w:fill="auto"/>
            <w:vAlign w:val="bottom"/>
          </w:tcPr>
          <w:p w:rsidR="00227D32" w:rsidRDefault="00227D32"/>
        </w:tc>
        <w:tc>
          <w:tcPr>
            <w:tcW w:w="4942" w:type="dxa"/>
            <w:shd w:val="clear" w:color="FFFFFF" w:fill="auto"/>
            <w:vAlign w:val="bottom"/>
          </w:tcPr>
          <w:p w:rsidR="00227D32" w:rsidRDefault="00227D32"/>
        </w:tc>
        <w:tc>
          <w:tcPr>
            <w:tcW w:w="73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076" w:type="dxa"/>
            <w:shd w:val="clear" w:color="FFFFFF" w:fill="auto"/>
            <w:vAlign w:val="bottom"/>
          </w:tcPr>
          <w:p w:rsidR="00227D32" w:rsidRDefault="00227D32"/>
        </w:tc>
        <w:tc>
          <w:tcPr>
            <w:tcW w:w="124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225"/>
        </w:trPr>
        <w:tc>
          <w:tcPr>
            <w:tcW w:w="540" w:type="dxa"/>
            <w:shd w:val="clear" w:color="FFFFFF" w:fill="auto"/>
            <w:vAlign w:val="bottom"/>
          </w:tcPr>
          <w:p w:rsidR="00227D32" w:rsidRDefault="00227D32"/>
        </w:tc>
        <w:tc>
          <w:tcPr>
            <w:tcW w:w="3193" w:type="dxa"/>
            <w:shd w:val="clear" w:color="FFFFFF" w:fill="auto"/>
            <w:vAlign w:val="bottom"/>
          </w:tcPr>
          <w:p w:rsidR="00227D32" w:rsidRDefault="00227D32"/>
        </w:tc>
        <w:tc>
          <w:tcPr>
            <w:tcW w:w="4942" w:type="dxa"/>
            <w:shd w:val="clear" w:color="FFFFFF" w:fill="auto"/>
            <w:vAlign w:val="bottom"/>
          </w:tcPr>
          <w:p w:rsidR="00227D32" w:rsidRDefault="00227D32"/>
        </w:tc>
        <w:tc>
          <w:tcPr>
            <w:tcW w:w="73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076" w:type="dxa"/>
            <w:shd w:val="clear" w:color="FFFFFF" w:fill="auto"/>
            <w:vAlign w:val="bottom"/>
          </w:tcPr>
          <w:p w:rsidR="00227D32" w:rsidRDefault="00227D32"/>
        </w:tc>
        <w:tc>
          <w:tcPr>
            <w:tcW w:w="124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563" w:type="dxa"/>
            <w:gridSpan w:val="9"/>
            <w:shd w:val="clear" w:color="FFFFFF" w:fill="auto"/>
            <w:vAlign w:val="bottom"/>
          </w:tcPr>
          <w:p w:rsidR="00227D32" w:rsidRDefault="00D95C74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225"/>
        </w:trPr>
        <w:tc>
          <w:tcPr>
            <w:tcW w:w="540" w:type="dxa"/>
            <w:shd w:val="clear" w:color="FFFFFF" w:fill="auto"/>
            <w:vAlign w:val="bottom"/>
          </w:tcPr>
          <w:p w:rsidR="00227D32" w:rsidRDefault="00227D32"/>
        </w:tc>
        <w:tc>
          <w:tcPr>
            <w:tcW w:w="3193" w:type="dxa"/>
            <w:shd w:val="clear" w:color="FFFFFF" w:fill="auto"/>
            <w:vAlign w:val="bottom"/>
          </w:tcPr>
          <w:p w:rsidR="00227D32" w:rsidRDefault="00227D32"/>
        </w:tc>
        <w:tc>
          <w:tcPr>
            <w:tcW w:w="4942" w:type="dxa"/>
            <w:shd w:val="clear" w:color="FFFFFF" w:fill="auto"/>
            <w:vAlign w:val="bottom"/>
          </w:tcPr>
          <w:p w:rsidR="00227D32" w:rsidRDefault="00227D32"/>
        </w:tc>
        <w:tc>
          <w:tcPr>
            <w:tcW w:w="73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076" w:type="dxa"/>
            <w:shd w:val="clear" w:color="FFFFFF" w:fill="auto"/>
            <w:vAlign w:val="bottom"/>
          </w:tcPr>
          <w:p w:rsidR="00227D32" w:rsidRDefault="00227D32"/>
        </w:tc>
        <w:tc>
          <w:tcPr>
            <w:tcW w:w="124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225"/>
        </w:trPr>
        <w:tc>
          <w:tcPr>
            <w:tcW w:w="540" w:type="dxa"/>
            <w:shd w:val="clear" w:color="FFFFFF" w:fill="auto"/>
            <w:vAlign w:val="bottom"/>
          </w:tcPr>
          <w:p w:rsidR="00227D32" w:rsidRDefault="00227D32"/>
        </w:tc>
        <w:tc>
          <w:tcPr>
            <w:tcW w:w="3193" w:type="dxa"/>
            <w:shd w:val="clear" w:color="FFFFFF" w:fill="auto"/>
            <w:vAlign w:val="bottom"/>
          </w:tcPr>
          <w:p w:rsidR="00227D32" w:rsidRDefault="00227D32"/>
        </w:tc>
        <w:tc>
          <w:tcPr>
            <w:tcW w:w="4942" w:type="dxa"/>
            <w:shd w:val="clear" w:color="FFFFFF" w:fill="auto"/>
            <w:vAlign w:val="bottom"/>
          </w:tcPr>
          <w:p w:rsidR="00227D32" w:rsidRDefault="00227D32"/>
        </w:tc>
        <w:tc>
          <w:tcPr>
            <w:tcW w:w="73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076" w:type="dxa"/>
            <w:shd w:val="clear" w:color="FFFFFF" w:fill="auto"/>
            <w:vAlign w:val="bottom"/>
          </w:tcPr>
          <w:p w:rsidR="00227D32" w:rsidRDefault="00227D32"/>
        </w:tc>
        <w:tc>
          <w:tcPr>
            <w:tcW w:w="124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225"/>
        </w:trPr>
        <w:tc>
          <w:tcPr>
            <w:tcW w:w="540" w:type="dxa"/>
            <w:shd w:val="clear" w:color="FFFFFF" w:fill="auto"/>
            <w:vAlign w:val="bottom"/>
          </w:tcPr>
          <w:p w:rsidR="00227D32" w:rsidRDefault="00227D32"/>
        </w:tc>
        <w:tc>
          <w:tcPr>
            <w:tcW w:w="3193" w:type="dxa"/>
            <w:shd w:val="clear" w:color="FFFFFF" w:fill="auto"/>
            <w:vAlign w:val="bottom"/>
          </w:tcPr>
          <w:p w:rsidR="00227D32" w:rsidRDefault="00227D32"/>
        </w:tc>
        <w:tc>
          <w:tcPr>
            <w:tcW w:w="4942" w:type="dxa"/>
            <w:shd w:val="clear" w:color="FFFFFF" w:fill="auto"/>
            <w:vAlign w:val="bottom"/>
          </w:tcPr>
          <w:p w:rsidR="00227D32" w:rsidRDefault="00227D32"/>
        </w:tc>
        <w:tc>
          <w:tcPr>
            <w:tcW w:w="73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076" w:type="dxa"/>
            <w:shd w:val="clear" w:color="FFFFFF" w:fill="auto"/>
            <w:vAlign w:val="bottom"/>
          </w:tcPr>
          <w:p w:rsidR="00227D32" w:rsidRDefault="00227D32"/>
        </w:tc>
        <w:tc>
          <w:tcPr>
            <w:tcW w:w="124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6" w:type="dxa"/>
          <w:trHeight w:val="225"/>
        </w:trPr>
        <w:tc>
          <w:tcPr>
            <w:tcW w:w="540" w:type="dxa"/>
            <w:shd w:val="clear" w:color="FFFFFF" w:fill="auto"/>
            <w:vAlign w:val="bottom"/>
          </w:tcPr>
          <w:p w:rsidR="00227D32" w:rsidRDefault="00227D32"/>
        </w:tc>
        <w:tc>
          <w:tcPr>
            <w:tcW w:w="3193" w:type="dxa"/>
            <w:shd w:val="clear" w:color="FFFFFF" w:fill="auto"/>
            <w:vAlign w:val="bottom"/>
          </w:tcPr>
          <w:p w:rsidR="00227D32" w:rsidRDefault="00227D32"/>
        </w:tc>
        <w:tc>
          <w:tcPr>
            <w:tcW w:w="4942" w:type="dxa"/>
            <w:shd w:val="clear" w:color="FFFFFF" w:fill="auto"/>
            <w:vAlign w:val="bottom"/>
          </w:tcPr>
          <w:p w:rsidR="00227D32" w:rsidRDefault="00227D32"/>
        </w:tc>
        <w:tc>
          <w:tcPr>
            <w:tcW w:w="73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076" w:type="dxa"/>
            <w:shd w:val="clear" w:color="FFFFFF" w:fill="auto"/>
            <w:vAlign w:val="bottom"/>
          </w:tcPr>
          <w:p w:rsidR="00227D32" w:rsidRDefault="00227D32"/>
        </w:tc>
        <w:tc>
          <w:tcPr>
            <w:tcW w:w="1244" w:type="dxa"/>
            <w:shd w:val="clear" w:color="FFFFFF" w:fill="auto"/>
            <w:vAlign w:val="bottom"/>
          </w:tcPr>
          <w:p w:rsidR="00227D32" w:rsidRDefault="00227D32"/>
        </w:tc>
        <w:tc>
          <w:tcPr>
            <w:tcW w:w="1747" w:type="dxa"/>
            <w:shd w:val="clear" w:color="FFFFFF" w:fill="auto"/>
            <w:vAlign w:val="bottom"/>
          </w:tcPr>
          <w:p w:rsidR="00227D32" w:rsidRDefault="00227D32"/>
        </w:tc>
        <w:tc>
          <w:tcPr>
            <w:tcW w:w="1561" w:type="dxa"/>
            <w:shd w:val="clear" w:color="FFFFFF" w:fill="auto"/>
            <w:vAlign w:val="bottom"/>
          </w:tcPr>
          <w:p w:rsidR="00227D32" w:rsidRDefault="00227D32"/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563" w:type="dxa"/>
            <w:gridSpan w:val="9"/>
            <w:shd w:val="clear" w:color="FFFFFF" w:fill="auto"/>
            <w:vAlign w:val="bottom"/>
          </w:tcPr>
          <w:p w:rsidR="00227D32" w:rsidRDefault="00D95C74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227D32" w:rsidTr="00C6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563" w:type="dxa"/>
            <w:gridSpan w:val="9"/>
            <w:shd w:val="clear" w:color="FFFFFF" w:fill="auto"/>
            <w:vAlign w:val="bottom"/>
          </w:tcPr>
          <w:p w:rsidR="00227D32" w:rsidRDefault="00D95C74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D95C74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D32"/>
    <w:rsid w:val="00227D32"/>
    <w:rsid w:val="00C627B2"/>
    <w:rsid w:val="00D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C0DBC-07BD-4657-AC31-2EC6E69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4971</Words>
  <Characters>28337</Characters>
  <Application>Microsoft Office Word</Application>
  <DocSecurity>0</DocSecurity>
  <Lines>236</Lines>
  <Paragraphs>66</Paragraphs>
  <ScaleCrop>false</ScaleCrop>
  <Company/>
  <LinksUpToDate>false</LinksUpToDate>
  <CharactersWithSpaces>33242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2017-11-02T09:20:00Z</dcterms:created>
  <dcterms:modified xsi:type="dcterms:W3CDTF">2017-11-02T09:23:00Z</dcterms:modified>
</cp:coreProperties>
</file>