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3399"/>
        <w:gridCol w:w="6024"/>
        <w:gridCol w:w="945"/>
        <w:gridCol w:w="1431"/>
        <w:gridCol w:w="1562"/>
        <w:gridCol w:w="1798"/>
        <w:gridCol w:w="1706"/>
      </w:tblGrid>
      <w:tr>
        <w:trPr>
          <w:trHeight w:val="615" w:hRule="atLeast"/>
        </w:trPr>
        <w:tc>
          <w:tcPr>
            <w:tcW w:w="4344" w:type="dxa"/>
            <w:gridSpan w:val="2"/>
            <w:shd w:val="clear" w:color="FFFFFF" w:fill="auto"/>
            <w:textDirection w:val="lrTb"/>
            <w:vAlign w:val="bottom"/>
          </w:tcPr>
          <w:p>
            <w:pPr>
              <w:wordWrap w:val="1"/>
              <w:jc w:val="center"/>
            </w:pPr>
            <w:r>
              <w:rPr>
                <w:rFonts w:ascii="Times New Roman" w:hAnsi="Times New Roman"/>
                <w:sz w:val="24"/>
                <w:szCs w:val="24"/>
              </w:rPr>
              <w:t>Краевое государственное бюджетное учреждение здравоохранения</w:t>
            </w:r>
          </w:p>
        </w:tc>
        <w:tc>
          <w:tcPr>
            <w:tcW w:w="6024" w:type="dxa"/>
            <w:shd w:val="clear" w:color="FFFFFF" w:fill="auto"/>
            <w:textDirection w:val="lrTb"/>
            <w:vAlign w:val="bottom"/>
          </w:tcPr>
          <w:p>
            <w:pPr>
              <w:wordWrap w:val="1"/>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2993" w:type="dxa"/>
            <w:gridSpan w:val="2"/>
            <w:shd w:val="clear" w:color="FFFFFF" w:fill="auto"/>
            <w:textDirection w:val="lrTb"/>
            <w:vAlign w:val="bottom"/>
          </w:tcPr>
          <w:p>
            <w:pPr>
              <w:jc w:val="center"/>
            </w:pPr>
            <w:r>
              <w:rPr>
                <w:rFonts w:ascii="Times New Roman" w:hAnsi="Times New Roman"/>
                <w:sz w:val="24"/>
                <w:szCs w:val="24"/>
              </w:rPr>
              <w:t>Руководителю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Краевая клиническая больница</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ул. П. Железняка, 3, г. Красноярск, 660022</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Телефон: 8 (391) 220-16-13</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Факс: 8 (391) 220-16-23</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Е-mail: kkb@ medqorod. ru</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Http://www.medgorod.ru</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ОКПО 01913234</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ИНН/КПП 2465030876/246501001</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______________ 2 017 г. №.__________</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4344" w:type="dxa"/>
            <w:gridSpan w:val="2"/>
            <w:shd w:val="clear" w:color="FFFFFF" w:fill="auto"/>
            <w:textDirection w:val="lrTb"/>
            <w:vAlign w:val="bottom"/>
          </w:tcPr>
          <w:p>
            <w:pPr>
              <w:jc w:val="center"/>
            </w:pPr>
            <w:r>
              <w:rPr>
                <w:rFonts w:ascii="Times New Roman" w:hAnsi="Times New Roman"/>
                <w:sz w:val="24"/>
                <w:szCs w:val="24"/>
              </w:rPr>
              <w:t>На  №_________ от ________________</w:t>
            </w:r>
          </w:p>
        </w:tc>
        <w:tc>
          <w:tcPr>
            <w:tcW w:w="6024" w:type="dxa"/>
            <w:shd w:val="clear" w:color="FFFFFF" w:fill="auto"/>
            <w:textDirection w:val="lrTb"/>
            <w:vAlign w:val="bottom"/>
          </w:tcPr>
          <w:p>
            <w:pPr>
              <w:jc w:val="center"/>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945" w:type="dxa"/>
            <w:shd w:val="clear" w:color="FFFFFF" w:fill="auto"/>
            <w:textDirection w:val="lrTb"/>
            <w:vAlign w:val="bottom"/>
          </w:tcPr>
          <w:p>
            <w:pPr>
              <w:jc w:val="left"/>
            </w:pPr>
            <w:r>
              <w:rPr>
                <w:rFonts w:ascii="Times New Roman" w:hAnsi="Times New Roman"/>
                <w:sz w:val="24"/>
                <w:szCs w:val="24"/>
              </w:rPr>
              <w:t/>
            </w:r>
          </w:p>
        </w:tc>
        <w:tc>
          <w:tcPr>
            <w:tcW w:w="3399" w:type="dxa"/>
            <w:shd w:val="clear" w:color="FFFFFF" w:fill="auto"/>
            <w:textDirection w:val="lrTb"/>
            <w:vAlign w:val="bottom"/>
          </w:tcPr>
          <w:p>
            <w:pPr>
              <w:jc w:val="left"/>
            </w:pPr>
            <w:r>
              <w:rPr>
                <w:rFonts w:ascii="Times New Roman" w:hAnsi="Times New Roman"/>
                <w:sz w:val="24"/>
                <w:szCs w:val="24"/>
              </w:rPr>
              <w:t/>
            </w:r>
          </w:p>
        </w:tc>
        <w:tc>
          <w:tcPr>
            <w:tcW w:w="6024" w:type="dxa"/>
            <w:shd w:val="clear" w:color="FFFFFF" w:fill="auto"/>
            <w:textDirection w:val="lrTb"/>
            <w:vAlign w:val="bottom"/>
          </w:tcPr>
          <w:p>
            <w:pPr>
              <w:jc w:val="left"/>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15" w:hRule="atLeast"/>
        </w:trPr>
        <w:tc>
          <w:tcPr>
            <w:tcW w:w="18755" w:type="dxa"/>
            <w:gridSpan w:val="9"/>
            <w:shd w:val="clear" w:color="FFFFFF" w:fill="auto"/>
            <w:textDirection w:val="lrTb"/>
            <w:vAlign w:val="bottom"/>
          </w:tcPr>
          <w:p>
            <w:pPr>
              <w:jc w:val="left"/>
            </w:pPr>
            <w:r>
              <w:rPr>
                <w:rFonts w:ascii="Times New Roman" w:hAnsi="Times New Roman"/>
                <w:sz w:val="24"/>
                <w:szCs w:val="24"/>
              </w:rPr>
              <w:t>О коммерческом предложении</w:t>
            </w:r>
          </w:p>
        </w:tc>
      </w:tr>
      <w:tr>
        <w:trPr>
          <w:trHeight w:val="315" w:hRule="atLeast"/>
        </w:trPr>
        <w:tc>
          <w:tcPr>
            <w:tcW w:w="945" w:type="dxa"/>
            <w:shd w:val="clear" w:color="FFFFFF" w:fill="auto"/>
            <w:textDirection w:val="lrTb"/>
            <w:vAlign w:val="bottom"/>
          </w:tcPr>
          <w:p>
            <w:pPr>
              <w:jc w:val="left"/>
            </w:pPr>
            <w:r>
              <w:rPr>
                <w:rFonts w:ascii="Times New Roman" w:hAnsi="Times New Roman"/>
                <w:sz w:val="24"/>
                <w:szCs w:val="24"/>
              </w:rPr>
              <w:t/>
            </w:r>
          </w:p>
        </w:tc>
        <w:tc>
          <w:tcPr>
            <w:tcW w:w="3399" w:type="dxa"/>
            <w:shd w:val="clear" w:color="FFFFFF" w:fill="auto"/>
            <w:textDirection w:val="lrTb"/>
            <w:vAlign w:val="bottom"/>
          </w:tcPr>
          <w:p>
            <w:pPr>
              <w:jc w:val="left"/>
            </w:pPr>
            <w:r>
              <w:rPr>
                <w:rFonts w:ascii="Times New Roman" w:hAnsi="Times New Roman"/>
                <w:sz w:val="24"/>
                <w:szCs w:val="24"/>
              </w:rPr>
              <w:t/>
            </w:r>
          </w:p>
        </w:tc>
        <w:tc>
          <w:tcPr>
            <w:tcW w:w="6024" w:type="dxa"/>
            <w:shd w:val="clear" w:color="FFFFFF" w:fill="auto"/>
            <w:textDirection w:val="lrTb"/>
            <w:vAlign w:val="bottom"/>
          </w:tcPr>
          <w:p>
            <w:pPr>
              <w:jc w:val="left"/>
            </w:pPr>
            <w:r>
              <w:rPr>
                <w:rFonts w:ascii="Times New Roman" w:hAnsi="Times New Roman"/>
                <w:sz w:val="24"/>
                <w:szCs w:val="24"/>
              </w:rPr>
              <w:t/>
            </w:r>
          </w:p>
        </w:tc>
        <w:tc>
          <w:tcPr>
            <w:tcW w:w="945" w:type="dxa"/>
            <w:shd w:val="clear" w:color="FFFFFF" w:fill="auto"/>
            <w:textDirection w:val="lrTb"/>
            <w:vAlign w:val="bottom"/>
          </w:tcPr>
          <w:p>
            <w:pPr>
              <w:jc w:val="left"/>
            </w:pPr>
            <w:r>
              <w:rPr>
                <w:rFonts w:ascii="Times New Roman" w:hAnsi="Times New Roman"/>
                <w:sz w:val="24"/>
                <w:szCs w:val="24"/>
              </w:rPr>
              <w:t/>
            </w:r>
          </w:p>
        </w:tc>
        <w:tc>
          <w:tcPr>
            <w:tcW w:w="1431" w:type="dxa"/>
            <w:shd w:val="clear" w:color="FFFFFF" w:fill="auto"/>
            <w:textDirection w:val="lrTb"/>
            <w:vAlign w:val="bottom"/>
          </w:tcPr>
          <w:p>
            <w:pPr>
              <w:jc w:val="left"/>
            </w:pPr>
            <w:r>
              <w:rPr>
                <w:rFonts w:ascii="Times New Roman" w:hAnsi="Times New Roman"/>
                <w:sz w:val="24"/>
                <w:szCs w:val="24"/>
              </w:rPr>
              <w:t/>
            </w:r>
          </w:p>
        </w:tc>
        <w:tc>
          <w:tcPr>
            <w:tcW w:w="1562" w:type="dxa"/>
            <w:shd w:val="clear" w:color="FFFFFF" w:fill="auto"/>
            <w:textDirection w:val="lrTb"/>
            <w:vAlign w:val="bottom"/>
          </w:tcPr>
          <w:p>
            <w:pPr>
              <w:jc w:val="left"/>
            </w:pPr>
            <w:r>
              <w:rPr>
                <w:rFonts w:ascii="Times New Roman" w:hAnsi="Times New Roman"/>
                <w:sz w:val="24"/>
                <w:szCs w:val="24"/>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75" w:hRule="atLeast"/>
        </w:trPr>
        <w:tc>
          <w:tcPr>
            <w:tcW w:w="14306" w:type="dxa"/>
            <w:gridSpan w:val="6"/>
            <w:shd w:val="clear" w:color="FFFFFF" w:fill="auto"/>
            <w:textDirection w:val="lrTb"/>
            <w:vAlign w:val="bottom"/>
          </w:tcPr>
          <w:p>
            <w:pPr>
              <w:jc w:val="center"/>
            </w:pPr>
            <w:r>
              <w:rPr>
                <w:rFonts w:ascii="Times New Roman" w:hAnsi="Times New Roman"/>
                <w:b/>
                <w:sz w:val="28"/>
                <w:szCs w:val="28"/>
              </w:rPr>
              <w:t>Уважаемые господа!</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75" w:hRule="atLeast"/>
        </w:trPr>
        <w:tc>
          <w:tcPr>
            <w:tcW w:w="14306" w:type="dxa"/>
            <w:gridSpan w:val="6"/>
            <w:shd w:val="clear" w:color="FFFFFF" w:fill="auto"/>
            <w:textDirection w:val="lrTb"/>
            <w:vAlign w:val="bottom"/>
          </w:tcPr>
          <w:p>
            <w:pPr>
              <w:wordWrap w:val="1"/>
              <w:jc w:val="left"/>
            </w:pPr>
            <w:r>
              <w:rPr>
                <w:rFonts w:ascii="Times New Roman" w:hAnsi="Times New Roman"/>
                <w:sz w:val="28"/>
                <w:szCs w:val="28"/>
              </w:rPr>
              <w:t>     Прошу Вас предоставить коммерческое предложение на право поставки следующего товара:</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6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center"/>
            </w:pPr>
            <w:r>
              <w:rPr>
                <w:rFonts w:ascii="Times New Roman" w:hAnsi="Times New Roman"/>
                <w:b/>
                <w:sz w:val="24"/>
                <w:szCs w:val="24"/>
              </w:rPr>
              <w:t>№ п/п</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jc w:val="center"/>
            </w:pPr>
            <w:r>
              <w:rPr>
                <w:rFonts w:ascii="Times New Roman" w:hAnsi="Times New Roman"/>
                <w:b/>
                <w:sz w:val="24"/>
                <w:szCs w:val="24"/>
              </w:rPr>
              <w:t>Наименование</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jc w:val="center"/>
            </w:pPr>
            <w:r>
              <w:rPr>
                <w:rFonts w:ascii="Times New Roman" w:hAnsi="Times New Roman"/>
                <w:b/>
                <w:sz w:val="24"/>
                <w:szCs w:val="24"/>
              </w:rPr>
              <w:t>Технические характеристики</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jc w:val="center"/>
            </w:pPr>
            <w:r>
              <w:rPr>
                <w:rFonts w:ascii="Times New Roman" w:hAnsi="Times New Roman"/>
                <w:b/>
                <w:sz w:val="24"/>
                <w:szCs w:val="24"/>
              </w:rPr>
              <w:t>Ед. изм.</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jc w:val="center"/>
            </w:pPr>
            <w:r>
              <w:rPr>
                <w:rFonts w:ascii="Times New Roman" w:hAnsi="Times New Roman"/>
                <w:b/>
                <w:sz w:val="24"/>
                <w:szCs w:val="24"/>
              </w:rPr>
              <w:t>Кол-во, шт</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center"/>
            </w:pPr>
            <w:r>
              <w:rPr>
                <w:rFonts w:ascii="Times New Roman" w:hAnsi="Times New Roman"/>
                <w:b/>
                <w:sz w:val="24"/>
                <w:szCs w:val="24"/>
              </w:rPr>
              <w:t>Цена, рублей</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center"/>
            </w:pPr>
            <w:r>
              <w:rPr>
                <w:rFonts w:ascii="Times New Roman" w:hAnsi="Times New Roman"/>
                <w:b/>
                <w:sz w:val="24"/>
                <w:szCs w:val="24"/>
              </w:rPr>
              <w:t>Производитель</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b/>
                <w:sz w:val="24"/>
                <w:szCs w:val="24"/>
              </w:rPr>
              <w:t>Остаточный срок годности</w:t>
            </w:r>
          </w:p>
        </w:tc>
      </w:tr>
      <w:tr>
        <w:trPr>
          <w:trHeight w:val="12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для кардиостимуляции правого желудочка с активной фиксацией Flextend 4097</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Тип электрода - прямой</w:t>
              <w:br/>
              <w:t>
Вариант фиксации - активная</w:t>
              <w:br/>
              <w:t>
Покрытие дистального полюса окисью иридия - наличие</w:t>
              <w:br/>
              <w:t>
Длина, (см), не более - 59</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22</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6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2</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Интродьюсер разрывной VIK7S1 7Fr</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Интродьюсер разрывной размер 7 Fr</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170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6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3</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Интродьюсер разрывной VIK7S1 7Fr</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Интродьюсер разрывной размер 7 Fr</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200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4</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цифровой Esprit D</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Описание требований	Наличие функции, </w:t>
              <w:br/>
              <w:t>
описание параметра по ТЗ</w:t>
              <w:br/>
              <w:t>
Базовые параметры </w:t>
              <w:br/>
              <w:t>
Режимы стимуляции	DDD/DDIR - AAI - VVIR - VVI - VDD - DDI - DDTAV - DDTA - DDTV - AAT - VVT - DOO - AOO - VOO - OOO</w:t>
              <w:br/>
              <w:t>
Базовая частота в диапазоне, не менее	30 - 95 уд. в мин. (шаг не более 5)</w:t>
              <w:br/>
              <w:t>
Максимальная частота проведения, не менее	185 уд. в мин.</w:t>
              <w:br/>
              <w:t>
Частотный гистерезис в диапазоне, не менее	0 - 24 %</w:t>
              <w:br/>
              <w:t>
Амплитуда импульса (предсердия и желудочки) в диапазоне, не менее	1.5 - 7.5 В</w:t>
              <w:br/>
              <w:t>
</w:t>
              <w:br/>
              <w:t>
Длительность импульса (предсердия и желудочки)	0.10 – 1.00 мс</w:t>
              <w:br/>
              <w:t>
Предсердная чувствительность в диапазоне, не менее	0.1 - 6.0 мВ</w:t>
              <w:br/>
              <w:t>
Желудочковая чувствительность в диапазоне, не менее	1.0 - 15.0 мВ</w:t>
              <w:br/>
              <w:t>
Полярность детекции и стимуляции	Униполярная - Биполярная</w:t>
              <w:br/>
              <w:t>
</w:t>
              <w:br/>
              <w:t>
Алгоритм снижения процента желудочковой стимуляции</w:t>
              <w:br/>
              <w:t>
Алгоритм снижения процента желудочковой стимуляции переключением режимов  DDD(R) &lt;=&gt; псевдоAAI(R) при детекции собственного АВ проведения	Наличие </w:t>
              <w:br/>
              <w:t>
Критерии тестирования наличия собственного АВ проведения алгоритма снижения процента желудочковой стимуляции переключением режимов DDD(R) &lt;=&gt; псевдоAAI(R)	Не менее 3</w:t>
              <w:br/>
              <w:t>
Терапия по предотвращению предсердных тахиаритмий</w:t>
              <w:br/>
              <w:t>
Алгоритм переключения режимов стимуляции 	Наличие</w:t>
              <w:br/>
              <w:t>
Возможность перехода из режима без частотной адаптации в частотно-адаптивный режим на период  переключения режимов стимуляции (работы switch mode)	Наличие</w:t>
              <w:br/>
              <w:t>
Функция сглаживания ритма 	Наличие</w:t>
              <w:br/>
              <w:t>
Возможность программирования различных режимов работы функции сглаживания ритма	Не менее 5 режимов</w:t>
              <w:br/>
              <w:t>
Алгоритмы защиты от PMT	Не менее 3 </w:t>
              <w:br/>
              <w:t>
Возможность автоматического перепрограммирования более короткой АВ задержки  при детекции РМТ	Наличие</w:t>
              <w:br/>
              <w:t>
Алгоритм детекции и автоматического прерывания PMT	Наличие</w:t>
              <w:br/>
              <w:t>
Синхронизирующая предсердная стимуляция в ответ на желудочковую экстрасистолу	Наличие  </w:t>
              <w:br/>
              <w:t>
Параметры частотной адаптации </w:t>
              <w:br/>
              <w:t>
Тип сенсора	Физиологический импедансный (минутной вентиляции).</w:t>
              <w:br/>
              <w:t>
Возможность автоматической настройки кривой частотной адаптации	Наличие</w:t>
              <w:br/>
              <w:t>
Режимы частотной адаптации </w:t>
              <w:br/>
              <w:t>
	Не менее 4 режимов</w:t>
              <w:br/>
              <w:t>
Возможность быстрой настройки сенсоров (программирования врачом наклона кривой частотной адаптации)	Не менее 5 вариантов</w:t>
              <w:br/>
              <w:t>
Автоматические функции</w:t>
              <w:br/>
              <w:t>
Автоматическое измерение амплитуды сердечного сигнала и автоматическая подстройка чувствительности по предсердиям и желудочкам с возможностью работы в активном режиме или режиме мониторинга.	Наличие</w:t>
              <w:br/>
              <w:t>
Автоматическая активация всех функций диагностики сразу после детекции имплантации	Наличие</w:t>
              <w:br/>
              <w:t>
Постоянная автоматическая подстройка кривой частотной адаптации при изменении уровня физической активности пациента	Наличие</w:t>
              <w:br/>
              <w:t>
Автоматическое измерение импеданса предсердного и желудочкового электродов	Наличие, не реже 1 раза в 6 часов</w:t>
              <w:br/>
              <w:t>
Возможность проведения контрольного осмотра в полностью автоматическом режиме	Наличие</w:t>
              <w:br/>
              <w:t>
Контрольный осмотр</w:t>
              <w:br/>
              <w:t>
Возможность программирования пользователем протокола проведения контрольного осмотра в полностью автоматическом режиме	Наличие</w:t>
              <w:br/>
              <w:t>
Возможность сохранения/просмотра данных диагностики и контрольного осмотра на внешнем носителе информации и распечатки на принтере (формат А4)	Наличие</w:t>
              <w:br/>
              <w:t>
Индикация состояния батареи ЭКС с отражением:</w:t>
              <w:br/>
              <w:t>
- остаточного срока службы ЭКС при запрограммированных параметрах стимуляции;</w:t>
              <w:br/>
              <w:t>
- магнитной частоты;</w:t>
              <w:br/>
              <w:t>
- вольтажа батареи;</w:t>
              <w:br/>
              <w:t>
- тренда импеданса батареи.	Наличие </w:t>
              <w:br/>
              <w:t>
Магнитный тест 	Наличие</w:t>
              <w:br/>
              <w:t>
Возможность проведения неинвазивного ЭФИ:</w:t>
              <w:br/>
              <w:t>
- залповая предсердная и желудочковая стимуляция;</w:t>
              <w:br/>
              <w:t>
- программируемая последовательность экстрастимулов	Наличие</w:t>
              <w:br/>
              <w:t>
Диагностика </w:t>
              <w:br/>
              <w:t>
Постоянно полностью активная диагностика, включая запись внутрисердечных ЭГМ высокого разрешения, без снижения сроков службы ЭКС	Наличие</w:t>
              <w:br/>
              <w:t>
Экспертная система анализа данных диагностики: </w:t>
              <w:br/>
              <w:t>
-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	Наличие</w:t>
              <w:br/>
              <w:t>
Автоматический анализ параметров стимуляции/детекции и терапии с рекомендациями по перепрограммированию устройства для оптимизации терапии	Наличие</w:t>
              <w:br/>
              <w:t>
Долговременные суточные тренды:</w:t>
              <w:br/>
              <w:t>
- предсердных аритмий;</w:t>
              <w:br/>
              <w:t>
- желудочковых аритмий;</w:t>
              <w:br/>
              <w:t>
- предсердной частоты;</w:t>
              <w:br/>
              <w:t>
- желудочковой частоты;</w:t>
              <w:br/>
              <w:t>
- % стимуляции.	Не менее 6 месяцев</w:t>
              <w:br/>
              <w:t>
Дневник аритмий	Наличие</w:t>
              <w:br/>
              <w:t>
Возможность записи и сохранения внутрисердечных электрограмм (ЭГМ) высокого разрешения в памяти ЭКС	Не менее 3.5 мин двухканальной (П и Ж) ЭГМ с аннотированными маркерами, синхронизированными с внутрисердечной ЭГМ</w:t>
              <w:br/>
              <w:t>
Частота дискретизации сердечных сигналов для записи внутрисердечной ЭГМ	Не менее 512 Гц</w:t>
              <w:br/>
              <w:t>
Общее число сохраняемых в памяти ЭКС эпизодов внутрисердечной ЭГМ	Не менее 14 эпизодов</w:t>
              <w:br/>
              <w:t>
Запись внутрисердечных ЭГМ по программируемым триггерам	Не менее 3 активных триггеров записи ЭГМ одновременно</w:t>
              <w:br/>
              <w:t>
Гистограммы и счетчики:</w:t>
              <w:br/>
              <w:t>
Тренды частоты предсердий и желудочков</w:t>
              <w:br/>
              <w:t>
% стимуляции по П и Ж</w:t>
              <w:br/>
              <w:t>
% стимуляции с частотой сенсора</w:t>
              <w:br/>
              <w:t>
Предсердные аритмии:</w:t>
              <w:br/>
              <w:t>
- число и продолжительность эпизодов переключения режимов;</w:t>
              <w:br/>
              <w:t>
- ПЭС;</w:t>
              <w:br/>
              <w:t>
- эпизоды с высокой частотой.</w:t>
              <w:br/>
              <w:t>
Желудочковые аритмии:</w:t>
              <w:br/>
              <w:t>
- ЖЭС;</w:t>
              <w:br/>
              <w:t>
- эпизоды с высокой частотой.</w:t>
              <w:br/>
              <w:t>
Тренды порогов стимуляции</w:t>
              <w:br/>
              <w:t>
Гистограммы амплитуд всех физиологических и патологических волн P и R	Наличие</w:t>
              <w:br/>
              <w:t>
Недельный холтер (7 суток по 24 часа)	Наличие</w:t>
              <w:br/>
              <w:t>
Физические характеристики</w:t>
              <w:br/>
              <w:t>
Размеры	Не более 41.2 x 41.5 x 6.1 мм</w:t>
              <w:br/>
              <w:t>
Вес 	Не более 20 гр</w:t>
              <w:br/>
              <w:t>
Объем 	Не более 8 см3</w:t>
              <w:br/>
              <w:t>
Тип коннектора	IS-1</w:t>
              <w:br/>
              <w:t>
Срок службы</w:t>
              <w:br/>
              <w:t>
(70 уд. в мин., 2.5 В, 0.5 мс, 500 Ом, 100% предсердная и 15% желудочковая стимуляция, вся диагностика постоянно активна, включая запись внутрисердечных ЭГМ)	Не менее 9.3 лет</w:t>
              <w:br/>
              <w:t>
</w:t>
              <w:br/>
              <w:t>
Гарантия производителя	Не менее 5 лет с момента имплантации</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40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5</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с частотной адаптацией вариант исполнения: Verity ADx XL DR 5356</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 п.п.	Параметр	Описание</w:t>
              <w:br/>
              <w:t>
1.	Общая характеристика	</w:t>
              <w:br/>
              <w:t>
	Электрокардиостимулятор двухкамерный имплантируемый с частотной адаптацией</w:t>
              <w:br/>
              <w:t>
		</w:t>
              <w:br/>
              <w:t>
2.	Технические характеристики:	 </w:t>
              <w:br/>
              <w:t>
	Электрокардиостимулятор имплантируемый двухкамерный с частотной адаптацией	</w:t>
              <w:br/>
              <w:t>
	Программируемые параметры:	</w:t>
              <w:br/>
              <w:t>
	Режимы Стимуляции	AOO(R); AAI(R); AAT(R); VOO(R); VVI(R); VVT(R); VDD(R); DOO(R); DVI(R); DDI(R); DDD(R); Выкл.</w:t>
              <w:br/>
              <w:t>
	Автоматический поиск спонтанного проведения (AICS)	Наличие</w:t>
              <w:br/>
              <w:t>
Выкл.; от +10 до +120 с шагом не более 10</w:t>
              <w:br/>
              <w:t>
	Базовая частота стимуляции	30, 40–130 с шагом не более 5; </w:t>
              <w:br/>
              <w:t>
140–170 с шагом не более 10; 60</w:t>
              <w:br/>
              <w:t>
	Автоматическая проверка системы стимуляции (Fast-Path): сбор наиболее важных диагностических данных и проведение тестов путем нажатия одной кнопки программирующего устройства	Наличие</w:t>
              <w:br/>
              <w:t>
	Амплитуда стимула	От 0,1 до 8,4 В; шаг не более 0,2 В.</w:t>
              <w:br/>
              <w:t>
	Частота гистерезиса </w:t>
              <w:br/>
              <w:t>
	Выключен, 30–130 с шагом не более 5,140; 150. Наибольшее возможное значение частоты гистерезиса – на 5 стимулов в минуту ниже базовой частоты.</w:t>
              <w:br/>
              <w:t>
	Интревал поиска 	Выкл., 5, 10, 15, 30</w:t>
              <w:br/>
              <w:t>
	Продолжительность интервенции 	1-10; 1</w:t>
              <w:br/>
              <w:t>
	Подсчёт циклов 	1-3; 1</w:t>
              <w:br/>
              <w:t>
	Частота покоя</w:t>
              <w:br/>
              <w:t>
	Выкл.; 30–130 с шагом не более 5, 140, 150</w:t>
              <w:br/>
              <w:t>
	Максимальная частота синхронизации</w:t>
              <w:br/>
              <w:t>
	90–130 с шагом не более 5,</w:t>
              <w:br/>
              <w:t>
140–180 с шагом не более 10; 110</w:t>
              <w:br/>
              <w:t>
	AV задержка 	25;30-200 с шагом не более 10; 225-325 с шагом не более 25; 150</w:t>
              <w:br/>
              <w:t>
	PV задержка </w:t>
              <w:br/>
              <w:t>
	25; 30-200 с шагом не более 10; </w:t>
              <w:br/>
              <w:t>
225–325 с шагом не более 25; 150</w:t>
              <w:br/>
              <w:t>
	Короткая AV/PV задержка </w:t>
              <w:br/>
              <w:t>
	30–50 с шагом не более 5; </w:t>
              <w:br/>
              <w:t>
60–120 с шагом не более 10; 70</w:t>
              <w:br/>
              <w:t>
</w:t>
              <w:br/>
              <w:t>
	Желудочковый рефрактерный период</w:t>
              <w:br/>
              <w:t>
	125–500 с шагом не более 25; 250</w:t>
              <w:br/>
              <w:t>
</w:t>
              <w:br/>
              <w:t>
	Постжелудочковый предсердный рефрактерный период</w:t>
              <w:br/>
              <w:t>
	125–500 с шагом не более 25; 275</w:t>
              <w:br/>
              <w:t>
	Желудочковый слепой период</w:t>
              <w:br/>
              <w:t>
	12-52 с шагом не более 4; 12</w:t>
              <w:br/>
              <w:t>
</w:t>
              <w:br/>
              <w:t>
	Интервал защиты от помех (мс)</w:t>
              <w:br/>
              <w:t>
	16</w:t>
              <w:br/>
              <w:t>
	Интервал защиты предсердий	125</w:t>
              <w:br/>
              <w:t>
	Желудочковый автозахват</w:t>
              <w:br/>
              <w:t>
	Вкл, выкл.</w:t>
              <w:br/>
              <w:t>
	Конфигурация дополнительного страхующего стимула	Монополярная, биполярная</w:t>
              <w:br/>
              <w:t>
	Желудочковая амплитуда	0.0–4.0 с шагом не более 0.25; </w:t>
              <w:br/>
              <w:t>
4.5–7.5 с шагом не более 0.5; 3.5 </w:t>
              <w:br/>
              <w:t>
</w:t>
              <w:br/>
              <w:t>
	Длительность желудочкового импульса	0.05; 0.1–1.5 с шагом не более 0.1; 0.4 </w:t>
              <w:br/>
              <w:t>
	Желудочковая чувствительность 	0.5–5.0 с шагом не более  0.5; </w:t>
              <w:br/>
              <w:t>
6–10 с шагом не более 1.0; 12.5; 2.0</w:t>
              <w:br/>
              <w:t>
	Конфигурация желудочкового импульса	Монополярная (кончик-корпус), биполярная (кончик-кольцо).</w:t>
              <w:br/>
              <w:t>
</w:t>
              <w:br/>
              <w:t>
	Конфигурация чувствительности	Монополярная  (кончик-корпус), биполярная (кончик-кольцо), монополярная (кольцо-корпус)</w:t>
              <w:br/>
              <w:t>
	Предсердная чувствительность 	0.1; 0.2; 0.3; 0.4; 0.5; 0.75; 1.0; 1.25; 1.5; 1.75; 2,0; 2,5; 3,0; 3,5; 4,0; 5,0 </w:t>
              <w:br/>
              <w:t>
	Функция автоматического переключения режима стимуляции AMS с независимым программированием частотной адаптации (сенсора) для каждого из режимов</w:t>
              <w:br/>
              <w:t>
	Выкл, DDDR в DDIR; DDD в DDI; VDDR в VVIR; VDD в VVI; DDDR в DDI; DDD в DDIR; VDDR в VVI; VDD в VVIR</w:t>
              <w:br/>
              <w:t>
	AMS базовый режим	Базовый режим +0 в базовый режим +35 с шагом 5; 60</w:t>
              <w:br/>
              <w:t>
	Сенсор	Вкл., выкл., пассивный</w:t>
              <w:br/>
              <w:t>
	Максимальная частота сенсора	80-150 с шагом не более 5; </w:t>
              <w:br/>
              <w:t>
160-180 с шагом не более 10; 110</w:t>
              <w:br/>
              <w:t>
	Порог сенсора	Авто (-0.5); авто (+0.0); авто (+0.5); авто (+1.0); авто (+1.5); авто +(2.0); 1-7 с шагом не более 0.5</w:t>
              <w:br/>
              <w:t>
	Слоуп сенсора</w:t>
              <w:br/>
              <w:t>
	Авто (-1); авто (+0); авто (+1); авто (+2); авто (+3); 1-16; 8</w:t>
              <w:br/>
              <w:t>
	Время реакции сенсора	Очень быстро, быстро, средне, медленно</w:t>
              <w:br/>
              <w:t>
	Время возврата сенсора	Очень быстро, быстро, средне, медленно</w:t>
              <w:br/>
              <w:t>
	Ответ магнита	Выкл.,  проверка батареи</w:t>
              <w:br/>
              <w:t>
	Частота  детекции предсердной тахикардии	110–150 с шагом не более 5; </w:t>
              <w:br/>
              <w:t>
160–200 с шагом не более 10;</w:t>
              <w:br/>
              <w:t>
225–300 с шагом не более 25; 225</w:t>
              <w:br/>
              <w:t>
	Постжелудочковый предсердный слепой период	60; 70; 80; 85; 95; 100; 110; 115; 125; 130; 140;</w:t>
              <w:br/>
              <w:t>
150; 155; 165; 170; 180; 185; 195; 200 мс</w:t>
              <w:br/>
              <w:t>
	Функция безопасной стимуляции желудочков	Выкл, вкл.</w:t>
              <w:br/>
              <w:t>
	PVC опции	Выкл; +PVARP на  PVC</w:t>
              <w:br/>
              <w:t>
</w:t>
              <w:br/>
              <w:t>
	PMT опции 	Выкл; 10 ударов &gt; PMT; автодетекция</w:t>
              <w:br/>
              <w:t>
</w:t>
              <w:br/>
              <w:t>
	PMT ритм детекции	90-150 с шагом 5; 160-180 с шагом 10; 110</w:t>
              <w:br/>
              <w:t>
	Тип электрода	Униполярный, биполярный, униполярный/биполярный</w:t>
              <w:br/>
              <w:t>
	Габариты	Не более 44x52x6 мм</w:t>
              <w:br/>
              <w:t>
	Вес	Не более 23,5 гр.</w:t>
              <w:br/>
              <w:t>
	Объём	Не более 11 см3</w:t>
              <w:br/>
              <w:t>
	Расчётный срок службы батареи	Не менее 12 лет</w:t>
              <w:br/>
              <w:t>
3.	Документация	</w:t>
              <w:br/>
              <w:t>
	Сертификат соответствия (декларация) ГОСТ РФ	Наличие</w:t>
              <w:br/>
              <w:t>
	Регистрационное удостоверение Минздравсоцразвития (Минздрава) России	Наличие</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156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6</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Sensia SEDR01</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Режимы работы: DDDR,DDD,DDIR,DDI,DVIR,DVI, DOOR, DOO, VDD, VVIR, VVI, VVT, VOOR, VOO, AAIR, AAI, AAT, AOOR, AOO, OVO, OAO; разъем IS-1 уни- или биполярный; полярность стимуляции/чувствительности: моно/биполярные,  возможность стимуляции с частотой от 30 до 180 уд/мин; вес 27,1 г., габаритные размеры 44,7x47,9x7,5 мм, срок эксплуатации не менее 9,4 лет (включен алгоритм поиска собственного АВ-проведения, 50% стимуляция); Функциональные характеристики: Частотно-адаптивный АВ-интервал (SAV/PAV) с раздельным программированием частоты старта/остановки; Автоматический ПЖПРП (до 500 мс), автоматическое управление захватом предсердий и желудочков, автоматический контроль  импеданса и полярности стимуляции в предсердии и желудочке, автоматический поиск собственного АВ-проведения с целью снижения нежелательной стимуляции желудочков (с увеличением интервалов SAV/PAV до 600 мс), автоматическая детекция имплантации, автоматическое определение амплитуды сигналов собственной электрической активности сердца и адаптация уровня чувствительности. Возможность автоматической настройки двух независимых зон частотной адаптации, наличие телеметрии, автоматический переключение режима стимуляции без отслеживания предсердий во время приступа предсердной тахикардии, функции сна, однокамерного гистерезиса, дополнительные функции безопасности пациента: безопасная стимуляция желудочков, ответ на экстрасистолию; защита от пейсмекер-индуцированной тахикардии. Возможность раздельного программирования собственной и стимулированной АВ-задержки. Диагностические функции: гистограмма частоты, гистограмма АВ-проведения, гистограмма режима поиска собственного АВ-проведения, профиль частоты отслеживания сенсором, адаптация под ежедневную активность пациента, счетчик эпизодов высокой ЧСС с записью ЭГМ до 24 секунд, возможность записи ЭГМ до 4 эпизодов, монитор электрода с автопереключением полярности. Возможность демонстрации информации о пациенте, состояния ЭКС и электродов на одном экране. Возможность предоставления рекомендаций по оптимальному подбору режимов стимуляции на основе данных о состоянии пациента. Тестирование в автоматическом и мануальном режимах продолжительности и амплитуды импульса, порога стимуляции, собственного ритма, теста с  физической нагрузкой. Возможность распечатки данных на листе А4, сохранения на диске. Наличие русифицированной версии программного обеспечения программатора и ЭКС.</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20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7</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для кардиостимуляции CapSure Fix Novus 5076-52</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Эндокардиальный стимуляционный электрод со стероидным наполнителем; биполярный; активная фиксация в предсердии; площадь поверхности вкручивающегося элемента – не более 4.2 мм2. Площадь поверхности кольца электрода - не более 22 мм2, расстояние от кончика до кольца – не более 10 мм, силиконовая изоляция; диаметр не более 6,1 Fr (2.0мм); длина не более 52 см; коннектор IS-1 BI; Стилеты в комплекте. Стерильная упаковка, количество в упаковке: 1 шт.</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8</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для кардиостимуляции CapSure Fix Novus 5076-58</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Эндокардиальный стимуляционный электрод со стероидным наполнителем; биполярный; активная фиксация в желудочке; площадь поверхности вкручивающегося элемента – не более 4.2 мм2. Площадь поверхности кольца электрода - не более 22 мм2, расстояние от кончика до кольца – не более 10 мм, силиконовая изоляция; диаметр не более 6,1 Fr (2.0мм); длина не более 58 см; коннектор IS-1 BI; Стилеты в комплекте. Стерильная упаковка, количество в упаковке: 1 шт.</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21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9</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для кардиостимуляции имплантируемый IsoFlex Optim 6,5F, длина 52 см</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Эндокардиальный предсердный биполярный электрод с пассивной фиксацией. Длина: 52 см. Наружный диаметр: 6,5 Френч. Коннектор IS-1 биполярный. Стероидный. Фиксация: Пассивная. Материал проксимального полюса: Платино-иридиевый сплав, с фрактальной поверхностью. Материал изоляции: Силикон+полиуретан.</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70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6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10</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Интродьюсер разрывной, диаметр 10F</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Разрывной интродюсер, диаметр: 10 F.</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200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11</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биполярный постоянный для электрокардиостимуляторов "ЭЛБИ" 8,5 Fr, длина 53 см</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эндокардиальный биполярный постоянный предсердный стероидный с пассивной  фиксацией. Полярность:  биполярный. Фиксация: пассивная. Материал катода: платина. Покрытие катода: оксид иридия. Материал анода: титан. Покрытие анода: оксид иридия. Расстояние между катодом и анодом: 12 мм. Изолятор: силиконовая резина. Длина электрода: 53 см.  Стандарт коннектора: IS-1 Bi (3,2). Лекарственное покрытие: Стероид – дексаметазон, 0,65 мг. Максимальный диаметр: 8,5 Fr.</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27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12</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биполярный постоянный для электрокардиостимуляторов "ЭЛБИ" 8,5 Fr, длина 58 см</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эндокардиальный биполярный желудочковый стероидный пассивной фиксации. Полярность: биполярный. Фиксация: пассивная. Материал катода: платина. Покрытие катода: оксид иридия. Материал анода: титан. Покрытие анода: оксид иридия. Расстояние между катодом и анодом: 12 мм. Изолятор: силиконовая резина. Длина электрода: 58 см. Стандарт коннектора: IS-1 Bi (3,2). Лекарственное покрытие: дексаметазон, 0,65 мг. Максимальный диаметр: 8,5 Fr.</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162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13</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типа DDD ЭКС-454 DDD</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Двухкамерный электрокардиостимулятор DDD биполярный телеметрический с антитахикардическими функциями. Режимы стимуляции: VVI, VVT, VOO, AAI, AAT, AOO, DDD, DDT, VDD, VDT, DVI, DVT, DDI,DDI/T, DOO, ODO, OVO, OAO. Минимизация желудочковой стимуляции (МЖС): выкл/вкл. Частота стимуляции, имп/мин: от 30 до160. </w:t>
              <w:br/>
              <w:t>
Амплитуда стимулов А- и V-каналов, В: от 0.5 до 8,0. Длительность стимулов А- и V-каналов, мс: от 0,1 до 1,0. Чувствительность по А-каналу, мВ: 0,3; 0,6; 0,9; 1,2; 1,5; 1,8; 2,1; 2,4; 2,7; 3,0; 3,3; 3,6; 3,9; 4,2; 4,5; 4,8 (16 значений). Чувствительность по V-каналу, мВ: 0,6; 1,2; 1,8; 2,4; 3,0; 3,6; 4,2; 4,8; 5,4; 6,0; 6,6; 7,2; 7,8; 8,4; 9,0; 9,6 (16 значений).</w:t>
              <w:br/>
              <w:t>
Гистерезис А канала, мс: от 0 до 400 с шагом 50. Слепой период по предсердному каналу: от 60 до 200 мс, с шагом 20 мс. Слепой период по желудочковому каналу: от 20 до 70 мс, с шагом 5 мс. Функция поиска собственной активности: ВЫКЛ/ от 2 до 8 с шагом 1. АV задержка, мс: от 40 до 340 мс, с шагом 20 мс. Динамическая A-V задержка: ВЫКЛ, длинная, средняя, короткая. Максимальная частота синхронизации (МЧС): 80-180 имп/мин с шагом 5 имп/мин. Гистерезис AV/PV  задержки, мс: ВЫКЛ/20, 40, 60, 80, 100, 120. Повторный гистерезис: ВЫКЛ/ от 2 до 8 с шагом 1. Частота распознавания предсердной тахикардии (ЧРПТ): 100-300 имп/мин, с шагом 10 имп/мин. Повторный гистерезис: ВЫКЛ/ от 2 до 8 с шагом 1. Функция автоматического переключения режима стимуляции (Auto Switch Mode): ВЫКЛ, медленное, быстрое. </w:t>
              <w:br/>
              <w:t>
Купирование пейсмейкерной тахикардии: выкл/вкл. Ответ на преждевременное желудочковое сокращение: выкл/вкл. Распознавание перекрестного восприятия (безопасная стимуляция   желудочков): выкл/вкл. Имеется в наличии функция безопасной стимуляции желудочков. Временные функции: выключение стимуляции; включение маркеров; включение частоты 30 имп/мин; магнитный тест; измерение порога стимуляции по амплитуде (3,0; 5,0; 8,0 В); определение порога стимуляции на рабочей частоте. Телеметрическая информация:  сведения о пациенте (ФИО, год рождения, диагноз, номер истории болезни); тип и модель электрода; сведения об ЭКС (модель, серийный номер, изготовитель, дата и место имплантации); дата последнего осмотра; состояние батареи  (напряжение, оставшийся срок службы в месяцах, время  работы); полярность электродов; параметры стимулятора; маркеры стимулов и воспринятых сокращений; внутрисердечная электрограмма (ВЭГ); гистограмма частот и сокращений; количество автоматических переключений режима стимуляции;  время работы в МЧС; время сбора статистики. Тип разъема: IS-1 BI (3,2 мм). Фиксация коннекторной части: фиксация электродов одним винтом. Масса, г: 32.</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14</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Altrua 40 DR</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Общая характеристика. Масса (г), не более: 25,4. Объем (см3), не более:10,8.  Стандарт коннекторов. Режимы стимуляции: DDD (R);DDI (R);DOO (R); VDD; VVT; VVI (R); VOO (R), AAT; AAI (R); AOO (R). Размеры (высота/ширина/толщина) (мм), не более 44 х 42 х 8. Тип датчика (сенсора) частотной адаптации. Акселерометр: Наличие. Минутная вентиляция: Наличие. Функция смешивания показателей двух сенсоров: акселерометра и минутной вентиляции: Наличие. Терапевтические возможности. Максимальная  частота синхронизации (имп./мин), не менее: 185. Максимальная сенсорная частота (имп./мин), не менее: 185. Диапазон амплитуды импульса по предсердному каналу, (В), не менее: 0,1-6,5. Программируемое и автоматическое регулирование амплитуды импульса по желудочковому каналу: Наличие. Диапазон амплитуды импульса по желудочковому каналу, (В), не менее: 0,1-6,5. Частотный гистерезис с поиском. Возможность «работы»  в двухкамерном режиме и в условиях частотной адаптации с «мягким» поиском спонтанного проведения: Наличие. Функция сглаживания изменений частоты стимуляции (возможность сглаживания изменений частоты стимуляции и при снижении ритма, и при учащении ритма): Наличие. Автоматическое переключение полярности электрода с биполярной на монополярную при выявлении критических показателей импеданса: Наличие. АВ задержка фиксированная: Наличие. Динамическая АВ задержка с линейным изменением значения: Наличие. Сдвиг АВ задержки при восприятии спонтанного сигнала: Наличие. Поиск спонтанного АВ проведения: Наличие. Максимальная АВ задержка (мс), не менее:300. Поиск спонтанного АВ проведения (программируемый интервал поиска, программируемое увеличение АВ задержки, адаптация удлинения к реально измеренному интервалу: Наличие. Постжелудочковый предсердный рефрактерный период (ПЖПРП) (фиксированный и динамический): Наличие. ПЖПРП после воспринятого преждевременного желудочкового/предсердного  сокращения, (мс) не менее: 500. Алгоритм купирования пейсмейкерной тахикардии: Наличие. Реакция на воспринятые предсердные аритмии: Наличие. Программируемый вариант переключения режима стимуляции (медленный). Частотная адаптация на период переключения режима стимуляции (независимое программирование): Наличие. Плавное снижение частоты стимуляции при переключении режима стимуляции: Наличие. Независимое программирование нижней границы частоты стимуляции при переключении режима стимуляции: Наличие. Реакция на воспринятое трепетание предсердий - переключение в пределах одного кардиоцикла (быстрый вариант переключения): Наличие. Предпочтение предсердной  стимуляции: Наличие. Реакция на внезапную брадикардию: Наличие. Алгоритм для предотвращения  развития  фибрилляции предсердий: Наличие. Регулирование частоты сокращений желудочков при фибрилляции предсердий и сохраненной АВ проводимости: Наличие. Диагностические  функции. Введение в память стимулятора информации  о пациенте  и системе с возможностью последующего просмотра и распечатки: Наличие. Запись ЭКГ и ВЭГМ (предсердная и желудочковая)  в реальном масштабе времени с печатью (маркеры, интервалы): Наличие. Оценка состояния источника питания с  визуализацией графика и указанием остаточного срока службы: Наличие. Запись ЭКГ с расширенными маркерами: Наличие. Запись ЭКГ и ВЭГМ - моментальных  фрагментов с  последующим просмотром и печатью (маркеры, интервалы). Запись 4 фрагментов для последующего просмотра: Наличие. Запись в памяти ВЭГМ с предшествующим отрезком времени и маркерами по двум каналам, не менее (с),  включена по умолчанию,  не влияет на  указываемый срок службы КС:100. Запись событий соответственно не менее, чем 7 триггерам: Наличие. Журнал регистрации аритмий, с сохранением информации, не менее (событий):40. Гистограммы (навязанных и спонтанных сокращений, АВ гистограммы): Наличие. Счетчики (характеристики переключения режимов стимуляции, желудочковых и предсердных  экстрасистол, характеристика эффективности частотного гистерезиса и гистерезиса АВ проведения,  вариабельность желудочковых интервалов): Наличие. Тренды частотные с указанием начала и длительности записи: Наличие. Тренды чувствительности: Наличие. Моделирование частотной реакции при изменении параметров частотной адаптации: Наличие. Регистрация активности по интенсивности, времени и частоте выполнения: Наличие. Измерение порога стимуляции Полуавтоматический тест, выполняемый по амплитуде и /или ДИ: Наличие. Ежедневные измерения: амплитуды  волн P и/или R,  измерение  импеданса  электродов: Наличие. Сохранение информации об ежедневных измерениях, не менее (мес.): Наличие, 12. Проведение  тестов в интерактивном варианте: Наличие. Функция «Ускоренная проверка» с регулируемыми вариантами просмотра и записи: Наличие. Неинвазивное электрофизиологическое исследование (посредством только программатора): Наличие. Временная программа с возможностью изменения параметров  и значений  постоянной программы: Наличие. Сроки службы при следующих условиях: 100% стимуляция по обоим каналам, не менее (лет): 5. Набор эндокардиальных электродов. Предсердный: Один на комплект. Желудочковый: Один на комплект. Дополнительные условия. Общие требования к электродам: Биполярный: Наличие. Со стероидным  включением: Наличие. Гарантийный срок на эндокардиальные электроды пожизненный: Наличие.</w:t>
              <w:br/>
              <w:t>
Требования к предсердным электродам: - Тип электрода: Прямой. - Вариант фиксации: Активная. - Длина, (см), не менее: 52. Требования к желудочковым электродам: - Тип электрода: Прямой. - Вариант фиксации: Активная. - Длина, (см), не менее: 58. Минимальный размер интродьюсера, (F):8. Интродьюсер входит в комплект, (шт.): 2.</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40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21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15</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Электрод для кардиостимуляции имплантируемый IsoFlex Optim 6,5F, длина 58 см</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Эндокардиальный желудочковый биполярный электрод с пассивной фиксацией. Длина: 58 см. Наружный диаметр: 6,5 Френч. Коннектор IS-1 биполярный. Стероидный. Фиксация:  Пассивная. Материал проксимального полюса: Платино-иридиевый сплав, с фрактальной поверхностью. Материал изоляции: Силикон+полиуретан.</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100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30015" w:hRule="atLeast"/>
        </w:trPr>
        <w:tc>
          <w:tcPr>
            <w:tcW w:w="945"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16</w:t>
            </w:r>
          </w:p>
        </w:tc>
        <w:tc>
          <w:tcPr>
            <w:tcW w:w="3399"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Электрокардиостимулятор двухкамерный имплантируемый Vitatron E50 D</w:t>
            </w:r>
          </w:p>
        </w:tc>
        <w:tc>
          <w:tcPr>
            <w:tcW w:w="6024" w:type="dxa"/>
            <w:shd w:val="clear" w:color="FFFFFF" w:fill="auto"/>
            <w:textDirection w:val="lrTb"/>
            <w:vAlign w:val="center"/>
            <w:tcBorders>
              <w:top w:val="single" w:sz="5" w:space="0" w:color="auto"/>
              <w:bottom w:val="single" w:sz="5" w:space="0" w:color="auto"/>
              <w:right w:val="single" w:sz="5" w:space="0" w:color="auto"/>
            </w:tcBorders>
          </w:tcPr>
          <w:p>
            <w:pPr>
              <w:wordWrap w:val="1"/>
              <w:jc w:val="left"/>
            </w:pPr>
            <w:r>
              <w:rPr>
                <w:rFonts w:ascii="Times New Roman" w:hAnsi="Times New Roman"/>
                <w:sz w:val="24"/>
                <w:szCs w:val="24"/>
              </w:rPr>
              <w:t>Механические технические характеристики </w:t>
              <w:br/>
              <w:t>
Модель E50A1 </w:t>
              <w:br/>
              <w:t>
Размер, ВхШхД, мм 44,7 х 47,9 х 7,5 </w:t>
              <w:br/>
              <w:t>
Масса, г 27,1 </w:t>
              <w:br/>
              <w:t>
Объем, см3 12,1 </w:t>
              <w:br/>
              <w:t>
Коннектор IS-1 BI или UNI </w:t>
              <w:br/>
              <w:t>
Рентгеноконтрастная идентификация VG </w:t>
              <w:br/>
              <w:t>
Батарея Тип Литий-йодная </w:t>
              <w:br/>
              <w:t>
Напряжение 2,8 В </w:t>
              <w:br/>
              <w:t>
Предполагаемая средняя емкость 1,3 А/ч </w:t>
              <w:br/>
              <w:t>
Срок службы Без функции Reduced VP™+ 11,3 года* </w:t>
              <w:br/>
              <w:t>
С функцией Reduced VP™+ 12,0 лет** </w:t>
              <w:br/>
              <w:t>
</w:t>
              <w:br/>
              <w:t>
Электрокардиостимуляция при брадикардии </w:t>
              <w:br/>
              <w:t>
</w:t>
              <w:br/>
              <w:t>
Программируемые параметры </w:t>
              <w:br/>
              <w:t>
</w:t>
              <w:br/>
              <w:t>
Режимы стимуляции  DDD, DDI, DVI, DOO, VDD, VVIR, VDIR, VVI,  VDI, VVT, VOOR, VOO, AAIR, ADIR, AAI, ADI, AAT, AOOR, AOO, ODO, OVO, OAO </w:t>
              <w:br/>
              <w:t>
</w:t>
              <w:br/>
              <w:t>
Переключение режима  Вкл., Выкл. </w:t>
              <w:br/>
              <w:t>
</w:t>
              <w:br/>
              <w:t>
Нижняя базовая частота 30, 35, 40...60...175 мин-1 (кроме 65, 85) </w:t>
              <w:br/>
              <w:t>
</w:t>
              <w:br/>
              <w:t>
Максимальная частота отслеживанияa 80, 90, 95...130...180 мин-1 </w:t>
              <w:br/>
              <w:t>
</w:t>
              <w:br/>
              <w:t>
Верхняя частота сенсора 80, 90, 95...130...180 мин-1 </w:t>
              <w:br/>
              <w:t>
</w:t>
              <w:br/>
              <w:t>
Амплитуда импульсаb  П и ПЖ  0,5; 0,75; 1,0...3,5...4; 4,5; 5; 5,5; 6; 7,5 В </w:t>
              <w:br/>
              <w:t>
</w:t>
              <w:br/>
              <w:t>
Длительность импульса  П и ПЖ  0,12; 0,15; 0,21; 0,27; 0,34; 0,4; 0,46; </w:t>
              <w:br/>
              <w:t>
0,52; 0,64; 0,76; 1; 1,25; 1,5 мс </w:t>
              <w:br/>
              <w:t>
</w:t>
              <w:br/>
              <w:t>
Предсердная чувствительность  0,18; 0,25; 0,35; 0,5; 0,7; 1; 1,4; 2; 2,8; 4 мВ </w:t>
              <w:br/>
              <w:t>
</w:t>
              <w:br/>
              <w:t>
Желудочковая  чувствительность  1; 1,4; 2; 2,8; 4; 5,6; 8; 11,2 мВ </w:t>
              <w:br/>
              <w:t>
</w:t>
              <w:br/>
              <w:t>
Полярность стимуляции (П и Ж) Биполярная, монополярная, настраиваемая </w:t>
              <w:br/>
              <w:t>
</w:t>
              <w:br/>
              <w:t>
Полярность чувствительности (П и Ж) Биполярная, монополярная, настраиваемая </w:t>
              <w:br/>
              <w:t>
Стимулированный АВ (САВ) 30, 40, 50 ...150...350 мс </w:t>
              <w:br/>
              <w:t>
Воспринятый АВ (ВАВ) 30, 40, 50 ...120...350 мс </w:t>
              <w:br/>
              <w:t>
</w:t>
              <w:br/>
              <w:t>
ПЖПРП Авто, перемен., 150, 160, 170 ...500 мс </w:t>
              <w:br/>
              <w:t>
</w:t>
              <w:br/>
              <w:t>
Минимальный ПЖПРП 150, 160, 170...250...500 мс </w:t>
              <w:br/>
              <w:t>
</w:t>
              <w:br/>
              <w:t>
ПЖПСП    130, 140, 150...180...350 мс </w:t>
              <w:br/>
              <w:t>
</w:t>
              <w:br/>
              <w:t>
Предсердный рефрактерный период 180, 190, 200...250...500 мс </w:t>
              <w:br/>
              <w:t>
</w:t>
              <w:br/>
              <w:t>
Предсердный слепой период 130, 140, 150...180...350 мс </w:t>
              <w:br/>
              <w:t>
</w:t>
              <w:br/>
              <w:t>
Желудочковый рефрактерный период 150, 160, 170...230...500 мс </w:t>
              <w:br/>
              <w:t>
</w:t>
              <w:br/>
              <w:t>
Желудочковый слепой период (после предсердной стимуляции) (ППЖСП) </w:t>
              <w:br/>
              <w:t>
20, 28, 36, 44 мс </w:t>
              <w:br/>
              <w:t>
</w:t>
              <w:br/>
              <w:t>
Терапии для поддержания собственного ритма </w:t>
              <w:br/>
              <w:t>
</w:t>
              <w:br/>
              <w:t>
Reduced VP™+ Вкл., Выкл. </w:t>
              <w:br/>
              <w:t>
Максимальное увеличение к АВ 10, 20, 30...170...250 мс </w:t>
              <w:br/>
              <w:t>
Функция «Сон» Вкл., Выкл. </w:t>
              <w:br/>
              <w:t>
Частота во время сна 30, 35, 40...50...90 мин-1 (кроме 65, 85) </w:t>
              <w:br/>
              <w:t>
Время отхода ко сну 00:00, 00:15, 00:30... 22:00...23:45 </w:t>
              <w:br/>
              <w:t>
Время пробуждения 00:00, 00:15, 00:30... 8:00...23:45 </w:t>
              <w:br/>
              <w:t>
Однокамерный гистерезис Выкл., 40, 50, 60 мин-1 </w:t>
              <w:br/>
              <w:t>
</w:t>
              <w:br/>
              <w:t>
Частотная адаптация </w:t>
              <w:br/>
              <w:t>
Частота при повседневной активности 60, 65, 70...95...175, 180 мин-1 </w:t>
              <w:br/>
              <w:t>
Профиль оптимизации частоты Вкл., Выкл. </w:t>
              <w:br/>
              <w:t>
Ответ на повс. активность 1, 2, 3, 4, 5 </w:t>
              <w:br/>
              <w:t>
Ответ на физ. нагрузку 1, 2, 3, 4, 5 </w:t>
              <w:br/>
              <w:t>
Порог активности Низкий, средне-низкий, средне-высокий, высокий </w:t>
              <w:br/>
              <w:t>
Ускорение 15 с, 30 с, 60 с </w:t>
              <w:br/>
              <w:t>
Замедление 2,5 мин, 5 мин, 10 мин, упражнения </w:t>
              <w:br/>
              <w:t>
ЧААВ Вкл., Выкл. </w:t>
              <w:br/>
              <w:t>
Начальная частота 50, 55, 60...80...175 мин-1 </w:t>
              <w:br/>
              <w:t>
Конечная частота 55, 60, 65...120...180 мин-1 </w:t>
              <w:br/>
              <w:t>
Максимальное смещение -10, -20, -30...-40...-300 мс </w:t>
              <w:br/>
              <w:t>
</w:t>
              <w:br/>
              <w:t>
Дополнительные функции стимуляции </w:t>
              <w:br/>
              <w:t>
Вмешательство при ЭЗТ Вкл., Выкл. </w:t>
              <w:br/>
              <w:t>
Ответ на ЖЭС Вкл., Выкл. </w:t>
              <w:br/>
              <w:t>
Безопасная стимуляция желудочков Вкл., Выкл. </w:t>
              <w:br/>
              <w:t>
</w:t>
              <w:br/>
              <w:t>
</w:t>
              <w:br/>
              <w:t>
Терапии и вмешательства при предсердных тахиаритмиях </w:t>
              <w:br/>
              <w:t>
</w:t>
              <w:br/>
              <w:t>
Переключение режима Вкл., Выкл. </w:t>
              <w:br/>
              <w:t>
Частота детекции 120, 125...175...200 мин-1 </w:t>
              <w:br/>
              <w:t>
Задержка до детекции Без задержки, 10, 20...60 с </w:t>
              <w:br/>
              <w:t>
Поиск трепетания в слепом периоде Вкл., Выкл. </w:t>
              <w:br/>
              <w:t>
</w:t>
              <w:br/>
              <w:t>
Конролируемый ответ на ФПc </w:t>
              <w:br/>
              <w:t>
</w:t>
              <w:br/>
              <w:t>
Регуляризовать V-V во время ПТ/ФП Вкл., Выкл. </w:t>
              <w:br/>
              <w:t>
Максимальная частота (мин-1) 80, 85, 90...110...130 </w:t>
              <w:br/>
              <w:t>
</w:t>
              <w:br/>
              <w:t>
Неконкурентная стимуляция предсердий Вкл., Выкл. </w:t>
              <w:br/>
              <w:t>
</w:t>
              <w:br/>
              <w:t>
Автоматическая стимуляция, чувствительность и мониторинг электрода </w:t>
              <w:br/>
              <w:t>
</w:t>
              <w:br/>
              <w:t>
Детекция имплантации и инициализация </w:t>
              <w:br/>
              <w:t>
</w:t>
              <w:br/>
              <w:t>
После завершения 30-минутного периода детекции имплантации </w:t>
              <w:br/>
              <w:t>
включается Профиль оптимизации частоты; автоматически выбирается </w:t>
              <w:br/>
              <w:t>
подходящая полярность стимуляции и чувствительности; включается </w:t>
              <w:br/>
              <w:t>
функция управления выходными параметрами желудочкового канала, </w:t>
              <w:br/>
              <w:t>
амплитуда и длительность импульса становятся адаптирующимися. </w:t>
              <w:br/>
              <w:t>
Функция Reduced VP™+ включается через 60 минут после окончания </w:t>
              <w:br/>
              <w:t>
детекции имплантации. </w:t>
              <w:br/>
              <w:t>
</w:t>
              <w:br/>
              <w:t>
Детекция имплантации Вкл./перезагрузка, выкл./завершена </w:t>
              <w:br/>
              <w:t>
</w:t>
              <w:br/>
              <w:t>
Мониторинг электродов (П и Ж) Настроить, только мониторинг, </w:t>
              <w:br/>
              <w:t>
адаптивный (автоматическая переключение полярности), выкл. </w:t>
              <w:br/>
              <w:t>
Сообщить, если &lt; 200 . </w:t>
              <w:br/>
              <w:t>
Сообщить, если &gt; 1000, 2000, 3000, 4000 . </w:t>
              <w:br/>
              <w:t>
Мониторинг чувствительности 2, 3, 4 ... 8 ... 16 </w:t>
              <w:br/>
              <w:t>
</w:t>
              <w:br/>
              <w:t>
Управление выходными параметрами желудочкового канала </w:t>
              <w:br/>
              <w:t>
</w:t>
              <w:br/>
              <w:t>
Управление выходными параметрами желудочкового канала Выкл., только мониторинг, адаптивный </w:t>
              <w:br/>
              <w:t>
Коэффициент запаса по амплитуде 1,5x; 2x; 2,5x; 3x; 4x (раз) </w:t>
              <w:br/>
              <w:t>
Минимальная адаптируемая амплитуда 0,5; 0,75...2...3,5 В </w:t>
              <w:br/>
              <w:t>
Периодичность теста для сбора данных 15; 30 мин; 1; 2; 4; 8; 12 часов; </w:t>
              <w:br/>
              <w:t>
днем при отдыхе; днем в...; каждые 7 дней в </w:t>
              <w:br/>
              <w:t>
Время теста для сбора данных 00:00, 1:00...23:00 </w:t>
              <w:br/>
              <w:t>
Осталось дней острой фазы Выкл., 7, 14, 21...84, 112, 140, 168... 252 дн. </w:t>
              <w:br/>
              <w:t>
Ж. чувствительность во время теста Монополярная, биполярная, адаптивная </w:t>
              <w:br/>
              <w:t>
</w:t>
              <w:br/>
              <w:t>
Диагностика </w:t>
              <w:br/>
              <w:t>
</w:t>
              <w:br/>
              <w:t>
Информационная панель кардиостимулятора II </w:t>
              <w:br/>
              <w:t>
Выделяет существенные события, сводные данные стимуляции, </w:t>
              <w:br/>
              <w:t>
тренды порога и импеданса, Тренды порогов стимуляции желудочков, </w:t>
              <w:br/>
              <w:t>
Срок службы батареи, Статистика стимуляции и доступ к гистограмме частоты ритма, Тренды импеданса электродов предсердия и желудочка, Наблюдения </w:t>
              <w:br/>
              <w:t>
</w:t>
              <w:br/>
              <w:t>
Отчеты в виде гистограмм </w:t>
              <w:br/>
              <w:t>
</w:t>
              <w:br/>
              <w:t>
Гистограммы частоты сердечных сокращений </w:t>
              <w:br/>
              <w:t>
Гистограмма АВ проведения </w:t>
              <w:br/>
              <w:t>
Гистограмма Reduced VP™+ </w:t>
              <w:br/>
              <w:t>
Профиль частоты по показаниям сенсора </w:t>
              <w:br/>
              <w:t>
</w:t>
              <w:br/>
              <w:t>
Предсердные и желудочковые эпизоды </w:t>
              <w:br/>
              <w:t>
</w:t>
              <w:br/>
              <w:t>
Предсердные и желудочковые эпизоды высокой частоты </w:t>
              <w:br/>
              <w:t>
Желудочковая частота во время ПТ/ФП </w:t>
              <w:br/>
              <w:t>
Длительность ПТ/ФП </w:t>
              <w:br/>
              <w:t>
Множественные эпизоды ЭГМ </w:t>
              <w:br/>
              <w:t>
</w:t>
              <w:br/>
              <w:t>
Виды диагностики, выбранные врачом </w:t>
              <w:br/>
              <w:t>
</w:t>
              <w:br/>
              <w:t>
Пользовательский тренд частоты </w:t>
              <w:br/>
              <w:t>
Сведения об управлении выходными параметрами желудочкового  канала </w:t>
              <w:br/>
              <w:t>
Подробный отчет об эпизодах высокой частоты </w:t>
              <w:br/>
              <w:t>
</w:t>
              <w:br/>
              <w:t>
Управление данными пациента </w:t>
              <w:br/>
              <w:t>
</w:t>
              <w:br/>
              <w:t>
Данные пациента, хранящиеся в устройстве </w:t>
              <w:br/>
              <w:t>
</w:t>
              <w:br/>
              <w:t>
Идентификация пациента </w:t>
              <w:br/>
              <w:t>
Имплантированные электроды </w:t>
              <w:br/>
              <w:t>
Имплантированное устройство </w:t>
              <w:br/>
              <w:t>
Сохраненные примечания врача </w:t>
              <w:br/>
              <w:t>
</w:t>
              <w:br/>
              <w:t>
Управление данными </w:t>
              <w:br/>
              <w:t>
</w:t>
              <w:br/>
              <w:t>
Автоматическая печать данных первичного опроса </w:t>
              <w:br/>
              <w:t>
Полностраничная печать </w:t>
              <w:br/>
              <w:t>
Возможность сохранения данных на диск для электронного документооборота </w:t>
              <w:br/>
              <w:t>
</w:t>
              <w:br/>
              <w:t>
Контрольный осмотр и устранение неполадок </w:t>
              <w:br/>
              <w:t>
</w:t>
              <w:br/>
              <w:t>
Функции телеметрии </w:t>
              <w:br/>
              <w:t>
Транстелефонный монитор Вкл., Выкл. </w:t>
              <w:br/>
              <w:t>
Расширенная телеметрия Вкл., Выкл. </w:t>
              <w:br/>
              <w:t>
Расширенный маркер Стандарт, кривая отслеживания терапии </w:t>
              <w:br/>
              <w:t>
История основных параметров </w:t>
              <w:br/>
              <w:t>
Данные первичного опроса </w:t>
              <w:br/>
              <w:t>
Тест порога «Амплитуда-длительность» </w:t>
              <w:br/>
              <w:t>
Тест желудочкового порога </w:t>
              <w:br/>
              <w:t>
Marker Channel™ </w:t>
              <w:br/>
              <w:t>
Тест запаса по порогу </w:t>
              <w:br/>
              <w:t>
Тест с физической нагрузкой </w:t>
              <w:br/>
              <w:t>
ЭФИ </w:t>
              <w:br/>
              <w:t>
Магнитный тест </w:t>
              <w:br/>
              <w:t>
Тест спонтанного ритма </w:t>
              <w:br/>
              <w:t>
Тест чувствительности </w:t>
              <w:br/>
              <w:t>
Временный тест </w:t>
              <w:br/>
              <w:t>
</w:t>
              <w:br/>
              <w:t>
Работа в режиме магнита </w:t>
              <w:br/>
              <w:t>
</w:t>
              <w:br/>
              <w:t>
НСС РВЗ/ИПЗ </w:t>
              <w:br/>
              <w:t>
Двухкамерный режим Режим DOO </w:t>
              <w:br/>
              <w:t>
85 мин-1 </w:t>
              <w:br/>
              <w:t>
65 </w:t>
              <w:br/>
              <w:t>
Однокамерный предсердный </w:t>
              <w:br/>
              <w:t>
режим </w:t>
              <w:br/>
              <w:t>
Режим AOO </w:t>
              <w:br/>
              <w:t>
85 мин-1 </w:t>
              <w:br/>
              <w:t>
65 </w:t>
              <w:br/>
              <w:t>
Однокамерный желудочковый </w:t>
              <w:br/>
              <w:t>
режим </w:t>
              <w:br/>
              <w:t>
Режим VOO </w:t>
              <w:br/>
              <w:t>
85 мин-1 </w:t>
              <w:br/>
              <w:t>
65 </w:t>
              <w:br/>
              <w:t>
РВЗ/ ИПЗ                     Дата начала работы </w:t>
              <w:br/>
              <w:t>
</w:t>
              <w:br/>
              <w:t>
Рекомендуемое время замены (РВЗ/ИПЗ) </w:t>
              <w:br/>
              <w:t>
</w:t>
              <w:br/>
              <w:t>
Сообщение о необходимости замены на программаторе </w:t>
              <w:br/>
              <w:t>
(информационная панель кардиостимулятора II) </w:t>
              <w:br/>
              <w:t>
</w:t>
              <w:br/>
              <w:t>
Информация  о батарее/электроде Сообщение о необходимости замены </w:t>
              <w:br/>
              <w:t>
и напряжение батареи, показанное на программаторе </w:t>
              <w:br/>
              <w:t>
Дата начала работы РВЗ/ИПЗ Показано на программаторе </w:t>
              <w:br/>
              <w:t>
Сноски </w:t>
              <w:br/>
              <w:t>
</w:t>
              <w:br/>
              <w:t>
a Предел желудочковой и предсердной частоты — 200 мин-1 (±20 мин-1). </w:t>
              <w:br/>
              <w:t>
b Допуск для амплитуд от 0,5 В до 6,0 В составляет ±10%, для 7,5 В — </w:t>
              <w:br/>
              <w:t>
-20/+0%. Величина допуска определена для 37°C и нагрузки 500 .. </w:t>
              <w:br/>
              <w:t>
Амплитуда определена в 200 мс после пороговой границы стимула. </w:t>
              <w:br/>
              <w:t>
c Ответ на проведен. ФП действует во время эпизодов переключения </w:t>
              <w:br/>
              <w:t>
режимов, режимов WIR и VDIR. </w:t>
              <w:br/>
              <w:t>
</w:t>
              <w:br/>
              <w:t>
* DDD, 60 имп/мин, 100% стимуляция, желудочковая 2,0 В, † предсердная </w:t>
              <w:br/>
              <w:t>
1,5 В, длительность импульса — † 0,4 мс, импеданс стимуляции — 1000 .. </w:t>
              <w:br/>
              <w:t>
** Reduced VP™+ ВКЛ. 50% стимуляции. </w:t>
              <w:br/>
              <w:t>
† Минимальные адаптированные значения управления выходными </w:t>
              <w:br/>
              <w:t>
параметрами желудочков при заводских настройках. </w:t>
              <w:br/>
              <w:t>
Номинальные значения параметров выделены жирным шрифтом</w:t>
            </w:r>
          </w:p>
        </w:tc>
        <w:tc>
          <w:tcPr>
            <w:tcW w:w="945"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шт.</w:t>
            </w:r>
          </w:p>
        </w:tc>
        <w:tc>
          <w:tcPr>
            <w:tcW w:w="1431" w:type="dxa"/>
            <w:shd w:val="clear" w:color="FFFFFF" w:fill="auto"/>
            <w:textDirection w:val="lrTb"/>
            <w:vAlign w:val="center"/>
            <w:tcBorders>
              <w:top w:val="single" w:sz="5" w:space="0" w:color="auto"/>
              <w:bottom w:val="single" w:sz="5" w:space="0" w:color="auto"/>
              <w:right w:val="single" w:sz="5" w:space="0" w:color="auto"/>
            </w:tcBorders>
          </w:tcPr>
          <w:p>
            <w:pPr>
              <w:wordWrap w:val="1"/>
              <w:jc w:val="center"/>
            </w:pPr>
            <w:r>
              <w:rPr>
                <w:rFonts w:ascii="Times New Roman" w:hAnsi="Times New Roman"/>
                <w:sz w:val="24"/>
                <w:szCs w:val="24"/>
              </w:rPr>
              <w:t>150</w:t>
            </w:r>
          </w:p>
        </w:tc>
        <w:tc>
          <w:tcPr>
            <w:tcW w:w="1562"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wordWrap w:val="1"/>
              <w:jc w:val="center"/>
            </w:pPr>
            <w:r>
              <w:rPr>
                <w:rFonts w:ascii="Times New Roman" w:hAnsi="Times New Roman"/>
                <w:sz w:val="24"/>
                <w:szCs w:val="24"/>
              </w:rPr>
              <w:t/>
            </w:r>
          </w:p>
        </w:tc>
        <w:tc>
          <w:tcPr>
            <w:tcW w:w="1798"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c>
          <w:tcPr>
            <w:tcW w:w="1706" w:type="dxa"/>
            <w:shd w:val="clear" w:color="FFFFFF" w:fill="auto"/>
            <w:textDirection w:val="lrTb"/>
            <w:vAlign w:val="center"/>
            <w:tcBorders>
              <w:top w:val="single" w:sz="5" w:space="0" w:color="auto"/>
              <w:left w:val="single" w:sz="5" w:space="0" w:color="auto"/>
              <w:bottom w:val="single" w:sz="5" w:space="0" w:color="auto"/>
              <w:right w:val="single" w:sz="5" w:space="0" w:color="auto"/>
            </w:tcBorders>
          </w:tcPr>
          <w:p>
            <w:pPr>
              <w:jc w:val="left"/>
            </w:pPr>
            <w:r>
              <w:rPr>
                <w:rFonts w:ascii="Arial" w:hAnsi="Arial"/>
                <w:sz w:val="16"/>
                <w:szCs w:val="16"/>
              </w:rPr>
              <w:t/>
            </w:r>
          </w:p>
        </w:tc>
      </w:tr>
      <w:tr>
        <w:trPr>
          <w:trHeight w:val="705" w:hRule="atLeast"/>
        </w:trPr>
        <w:tc>
          <w:tcPr>
            <w:tcW w:w="14306" w:type="dxa"/>
            <w:gridSpan w:val="6"/>
            <w:shd w:val="clear" w:color="FFFFFF" w:fill="auto"/>
            <w:textDirection w:val="lrTb"/>
            <w:vAlign w:val="bottom"/>
          </w:tcPr>
          <w:p>
            <w:pPr>
              <w:wordWrap w:val="1"/>
              <w:jc w:val="left"/>
            </w:pPr>
            <w:r>
              <w:rPr>
                <w:rFonts w:ascii="Times New Roman" w:hAnsi="Times New Roman"/>
                <w:sz w:val="28"/>
                <w:szCs w:val="28"/>
              </w:rPr>
              <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75" w:hRule="atLeast"/>
        </w:trPr>
        <w:tc>
          <w:tcPr>
            <w:tcW w:w="18755" w:type="dxa"/>
            <w:gridSpan w:val="9"/>
            <w:shd w:val="clear" w:color="FFFFFF" w:fill="auto"/>
            <w:textDirection w:val="lrTb"/>
            <w:vAlign w:val="bottom"/>
          </w:tcPr>
          <w:p>
            <w:pPr>
              <w:jc w:val="left"/>
            </w:pPr>
            <w:r>
              <w:rPr>
                <w:rFonts w:ascii="Times New Roman" w:hAnsi="Times New Roman"/>
                <w:sz w:val="28"/>
                <w:szCs w:val="28"/>
              </w:rPr>
              <w:t>Срок поставки: с момента заключения по 20.12.2018г., по потребности Заказчика в соответствии с заявкой.</w:t>
            </w:r>
          </w:p>
        </w:tc>
      </w:tr>
      <w:tr>
        <w:trPr>
          <w:trHeight w:val="375" w:hRule="atLeast"/>
        </w:trPr>
        <w:tc>
          <w:tcPr>
            <w:tcW w:w="14306" w:type="dxa"/>
            <w:gridSpan w:val="6"/>
            <w:shd w:val="clear" w:color="FFFFFF" w:fill="auto"/>
            <w:textDirection w:val="lrTb"/>
            <w:vAlign w:val="bottom"/>
          </w:tcPr>
          <w:p>
            <w:pPr>
              <w:wordWrap w:val="1"/>
              <w:jc w:val="left"/>
            </w:pPr>
            <w:r>
              <w:rPr>
                <w:rFonts w:ascii="Times New Roman" w:hAnsi="Times New Roman"/>
                <w:sz w:val="28"/>
                <w:szCs w:val="28"/>
              </w:rPr>
              <w:t>Цена должна быть указана с учетом доставки, разгрузки до КГБУЗ «Краевая клиническая больница» г.Красноярск.</w:t>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55" w:hRule="atLeast"/>
        </w:trPr>
        <w:tc>
          <w:tcPr>
            <w:tcW w:w="17810" w:type="dxa"/>
            <w:vMerge w:val="restart"/>
            <w:gridSpan w:val="8"/>
            <w:shd w:val="clear" w:color="FFFFFF" w:fill="auto"/>
            <w:textDirection w:val="lrTb"/>
            <w:vAlign w:val="bottom"/>
          </w:tcPr>
          <w:p>
            <w:pPr>
              <w:wordWrap w:val="1"/>
              <w:jc w:val="left"/>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350" w:hRule="atLeast"/>
        </w:trPr>
        <w:tc>
          <w:tcPr>
            <w:tcW w:w="17810" w:type="dxa"/>
            <w:vMerge w:val="continue"/>
            <w:gridSpan w:val="8"/>
            <w:shd w:val="clear" w:color="FFFFFF" w:fill="auto"/>
            <w:textDirection w:val="lrTb"/>
            <w:vAlign w:val="bottom"/>
          </w:tcPr>
          <w:p>
            <w:pPr>
              <w:wordWrap w:val="1"/>
              <w:jc w:val="left"/>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375" w:hRule="atLeast"/>
        </w:trPr>
        <w:tc>
          <w:tcPr>
            <w:tcW w:w="18755" w:type="dxa"/>
            <w:gridSpan w:val="9"/>
            <w:shd w:val="clear" w:color="FFFFFF" w:fill="auto"/>
            <w:textDirection w:val="lrTb"/>
            <w:vAlign w:val="bottom"/>
          </w:tcPr>
          <w:p>
            <w:pPr>
              <w:jc w:val="left"/>
            </w:pPr>
            <w:r>
              <w:rPr>
                <w:rFonts w:ascii="Times New Roman" w:hAnsi="Times New Roman"/>
                <w:sz w:val="28"/>
                <w:szCs w:val="28"/>
              </w:rPr>
              <w:t>Предложения принимаются в течение 5 календарных дней.</w:t>
            </w:r>
          </w:p>
        </w:tc>
      </w:tr>
      <w:tr>
        <w:trPr>
          <w:trHeight w:val="225" w:hRule="atLeast"/>
        </w:trPr>
        <w:tc>
          <w:tcPr>
            <w:tcW w:w="945" w:type="dxa"/>
            <w:shd w:val="clear" w:color="FFFFFF" w:fill="auto"/>
            <w:textDirection w:val="lrTb"/>
            <w:vAlign w:val="bottom"/>
          </w:tcPr>
          <w:p>
            <w:pPr/>
            <w:r>
              <w:rPr>
                <w:rFonts w:ascii="Arial" w:hAnsi="Arial"/>
                <w:sz w:val="16"/>
                <w:szCs w:val="16"/>
              </w:rPr>
            </w:r>
          </w:p>
        </w:tc>
        <w:tc>
          <w:tcPr>
            <w:tcW w:w="3399" w:type="dxa"/>
            <w:shd w:val="clear" w:color="FFFFFF" w:fill="auto"/>
            <w:textDirection w:val="lrTb"/>
            <w:vAlign w:val="bottom"/>
          </w:tcPr>
          <w:p>
            <w:pPr/>
            <w:r>
              <w:rPr>
                <w:rFonts w:ascii="Arial" w:hAnsi="Arial"/>
                <w:sz w:val="16"/>
                <w:szCs w:val="16"/>
              </w:rPr>
            </w:r>
          </w:p>
        </w:tc>
        <w:tc>
          <w:tcPr>
            <w:tcW w:w="6024" w:type="dxa"/>
            <w:shd w:val="clear" w:color="FFFFFF" w:fill="auto"/>
            <w:textDirection w:val="lrTb"/>
            <w:vAlign w:val="bottom"/>
          </w:tcPr>
          <w:p>
            <w:pPr/>
            <w:r>
              <w:rPr>
                <w:rFonts w:ascii="Arial" w:hAnsi="Arial"/>
                <w:sz w:val="16"/>
                <w:szCs w:val="16"/>
              </w:rPr>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225" w:hRule="atLeast"/>
        </w:trPr>
        <w:tc>
          <w:tcPr>
            <w:tcW w:w="945" w:type="dxa"/>
            <w:shd w:val="clear" w:color="FFFFFF" w:fill="auto"/>
            <w:textDirection w:val="lrTb"/>
            <w:vAlign w:val="bottom"/>
          </w:tcPr>
          <w:p>
            <w:pPr/>
            <w:r>
              <w:rPr>
                <w:rFonts w:ascii="Arial" w:hAnsi="Arial"/>
                <w:sz w:val="16"/>
                <w:szCs w:val="16"/>
              </w:rPr>
            </w:r>
          </w:p>
        </w:tc>
        <w:tc>
          <w:tcPr>
            <w:tcW w:w="3399" w:type="dxa"/>
            <w:shd w:val="clear" w:color="FFFFFF" w:fill="auto"/>
            <w:textDirection w:val="lrTb"/>
            <w:vAlign w:val="bottom"/>
          </w:tcPr>
          <w:p>
            <w:pPr/>
            <w:r>
              <w:rPr>
                <w:rFonts w:ascii="Arial" w:hAnsi="Arial"/>
                <w:sz w:val="16"/>
                <w:szCs w:val="16"/>
              </w:rPr>
            </w:r>
          </w:p>
        </w:tc>
        <w:tc>
          <w:tcPr>
            <w:tcW w:w="6024" w:type="dxa"/>
            <w:shd w:val="clear" w:color="FFFFFF" w:fill="auto"/>
            <w:textDirection w:val="lrTb"/>
            <w:vAlign w:val="bottom"/>
          </w:tcPr>
          <w:p>
            <w:pPr/>
            <w:r>
              <w:rPr>
                <w:rFonts w:ascii="Arial" w:hAnsi="Arial"/>
                <w:sz w:val="16"/>
                <w:szCs w:val="16"/>
              </w:rPr>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225" w:hRule="atLeast"/>
        </w:trPr>
        <w:tc>
          <w:tcPr>
            <w:tcW w:w="945" w:type="dxa"/>
            <w:shd w:val="clear" w:color="FFFFFF" w:fill="auto"/>
            <w:textDirection w:val="lrTb"/>
            <w:vAlign w:val="bottom"/>
          </w:tcPr>
          <w:p>
            <w:pPr/>
            <w:r>
              <w:rPr>
                <w:rFonts w:ascii="Arial" w:hAnsi="Arial"/>
                <w:sz w:val="16"/>
                <w:szCs w:val="16"/>
              </w:rPr>
            </w:r>
          </w:p>
        </w:tc>
        <w:tc>
          <w:tcPr>
            <w:tcW w:w="3399" w:type="dxa"/>
            <w:shd w:val="clear" w:color="FFFFFF" w:fill="auto"/>
            <w:textDirection w:val="lrTb"/>
            <w:vAlign w:val="bottom"/>
          </w:tcPr>
          <w:p>
            <w:pPr/>
            <w:r>
              <w:rPr>
                <w:rFonts w:ascii="Arial" w:hAnsi="Arial"/>
                <w:sz w:val="16"/>
                <w:szCs w:val="16"/>
              </w:rPr>
            </w:r>
          </w:p>
        </w:tc>
        <w:tc>
          <w:tcPr>
            <w:tcW w:w="6024" w:type="dxa"/>
            <w:shd w:val="clear" w:color="FFFFFF" w:fill="auto"/>
            <w:textDirection w:val="lrTb"/>
            <w:vAlign w:val="bottom"/>
          </w:tcPr>
          <w:p>
            <w:pPr/>
            <w:r>
              <w:rPr>
                <w:rFonts w:ascii="Arial" w:hAnsi="Arial"/>
                <w:sz w:val="16"/>
                <w:szCs w:val="16"/>
              </w:rPr>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75" w:hRule="atLeast"/>
        </w:trPr>
        <w:tc>
          <w:tcPr>
            <w:tcW w:w="18755" w:type="dxa"/>
            <w:gridSpan w:val="9"/>
            <w:shd w:val="clear" w:color="FFFFFF" w:fill="auto"/>
            <w:textDirection w:val="lrTb"/>
            <w:vAlign w:val="bottom"/>
          </w:tcPr>
          <w:p>
            <w:pPr>
              <w:jc w:val="left"/>
            </w:pPr>
            <w:r>
              <w:rPr>
                <w:rFonts w:ascii="Times New Roman" w:hAnsi="Times New Roman"/>
                <w:sz w:val="28"/>
                <w:szCs w:val="28"/>
              </w:rPr>
              <w:t>Руководитель контрактной службы                                                                                                                                                  И.О. Куликова</w:t>
            </w:r>
          </w:p>
        </w:tc>
      </w:tr>
      <w:tr>
        <w:trPr>
          <w:trHeight w:val="225" w:hRule="atLeast"/>
        </w:trPr>
        <w:tc>
          <w:tcPr>
            <w:tcW w:w="945" w:type="dxa"/>
            <w:shd w:val="clear" w:color="FFFFFF" w:fill="auto"/>
            <w:textDirection w:val="lrTb"/>
            <w:vAlign w:val="bottom"/>
          </w:tcPr>
          <w:p>
            <w:pPr>
              <w:jc w:val="left"/>
            </w:pPr>
            <w:r>
              <w:rPr>
                <w:rFonts w:ascii="Times New Roman" w:hAnsi="Times New Roman"/>
                <w:sz w:val="16"/>
                <w:szCs w:val="16"/>
              </w:rPr>
              <w:t/>
            </w:r>
          </w:p>
        </w:tc>
        <w:tc>
          <w:tcPr>
            <w:tcW w:w="3399" w:type="dxa"/>
            <w:shd w:val="clear" w:color="FFFFFF" w:fill="auto"/>
            <w:textDirection w:val="lrTb"/>
            <w:vAlign w:val="bottom"/>
          </w:tcPr>
          <w:p>
            <w:pPr>
              <w:jc w:val="left"/>
            </w:pPr>
            <w:r>
              <w:rPr>
                <w:rFonts w:ascii="Times New Roman" w:hAnsi="Times New Roman"/>
                <w:sz w:val="16"/>
                <w:szCs w:val="16"/>
              </w:rPr>
              <w:t/>
            </w:r>
          </w:p>
        </w:tc>
        <w:tc>
          <w:tcPr>
            <w:tcW w:w="6024" w:type="dxa"/>
            <w:shd w:val="clear" w:color="FFFFFF" w:fill="auto"/>
            <w:textDirection w:val="lrTb"/>
            <w:vAlign w:val="bottom"/>
          </w:tcPr>
          <w:p>
            <w:pPr>
              <w:jc w:val="left"/>
            </w:pPr>
            <w:r>
              <w:rPr>
                <w:rFonts w:ascii="Times New Roman" w:hAnsi="Times New Roman"/>
                <w:sz w:val="16"/>
                <w:szCs w:val="16"/>
              </w:rPr>
              <w:t/>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225" w:hRule="atLeast"/>
        </w:trPr>
        <w:tc>
          <w:tcPr>
            <w:tcW w:w="945" w:type="dxa"/>
            <w:shd w:val="clear" w:color="FFFFFF" w:fill="auto"/>
            <w:textDirection w:val="lrTb"/>
            <w:vAlign w:val="bottom"/>
          </w:tcPr>
          <w:p>
            <w:pPr>
              <w:jc w:val="left"/>
            </w:pPr>
            <w:r>
              <w:rPr>
                <w:rFonts w:ascii="Times New Roman" w:hAnsi="Times New Roman"/>
                <w:sz w:val="16"/>
                <w:szCs w:val="16"/>
              </w:rPr>
              <w:t/>
            </w:r>
          </w:p>
        </w:tc>
        <w:tc>
          <w:tcPr>
            <w:tcW w:w="3399" w:type="dxa"/>
            <w:shd w:val="clear" w:color="FFFFFF" w:fill="auto"/>
            <w:textDirection w:val="lrTb"/>
            <w:vAlign w:val="bottom"/>
          </w:tcPr>
          <w:p>
            <w:pPr>
              <w:jc w:val="left"/>
            </w:pPr>
            <w:r>
              <w:rPr>
                <w:rFonts w:ascii="Times New Roman" w:hAnsi="Times New Roman"/>
                <w:sz w:val="16"/>
                <w:szCs w:val="16"/>
              </w:rPr>
              <w:t/>
            </w:r>
          </w:p>
        </w:tc>
        <w:tc>
          <w:tcPr>
            <w:tcW w:w="6024" w:type="dxa"/>
            <w:shd w:val="clear" w:color="FFFFFF" w:fill="auto"/>
            <w:textDirection w:val="lrTb"/>
            <w:vAlign w:val="bottom"/>
          </w:tcPr>
          <w:p>
            <w:pPr>
              <w:jc w:val="left"/>
            </w:pPr>
            <w:r>
              <w:rPr>
                <w:rFonts w:ascii="Times New Roman" w:hAnsi="Times New Roman"/>
                <w:sz w:val="16"/>
                <w:szCs w:val="16"/>
              </w:rPr>
              <w:t/>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225" w:hRule="atLeast"/>
        </w:trPr>
        <w:tc>
          <w:tcPr>
            <w:tcW w:w="945" w:type="dxa"/>
            <w:shd w:val="clear" w:color="FFFFFF" w:fill="auto"/>
            <w:textDirection w:val="lrTb"/>
            <w:vAlign w:val="bottom"/>
          </w:tcPr>
          <w:p>
            <w:pPr>
              <w:jc w:val="left"/>
            </w:pPr>
            <w:r>
              <w:rPr>
                <w:rFonts w:ascii="Times New Roman" w:hAnsi="Times New Roman"/>
                <w:sz w:val="16"/>
                <w:szCs w:val="16"/>
              </w:rPr>
              <w:t/>
            </w:r>
          </w:p>
        </w:tc>
        <w:tc>
          <w:tcPr>
            <w:tcW w:w="3399" w:type="dxa"/>
            <w:shd w:val="clear" w:color="FFFFFF" w:fill="auto"/>
            <w:textDirection w:val="lrTb"/>
            <w:vAlign w:val="bottom"/>
          </w:tcPr>
          <w:p>
            <w:pPr>
              <w:jc w:val="left"/>
            </w:pPr>
            <w:r>
              <w:rPr>
                <w:rFonts w:ascii="Times New Roman" w:hAnsi="Times New Roman"/>
                <w:sz w:val="16"/>
                <w:szCs w:val="16"/>
              </w:rPr>
              <w:t/>
            </w:r>
          </w:p>
        </w:tc>
        <w:tc>
          <w:tcPr>
            <w:tcW w:w="6024" w:type="dxa"/>
            <w:shd w:val="clear" w:color="FFFFFF" w:fill="auto"/>
            <w:textDirection w:val="lrTb"/>
            <w:vAlign w:val="bottom"/>
          </w:tcPr>
          <w:p>
            <w:pPr>
              <w:jc w:val="left"/>
            </w:pPr>
            <w:r>
              <w:rPr>
                <w:rFonts w:ascii="Times New Roman" w:hAnsi="Times New Roman"/>
                <w:sz w:val="16"/>
                <w:szCs w:val="16"/>
              </w:rPr>
              <w:t/>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225" w:hRule="atLeast"/>
        </w:trPr>
        <w:tc>
          <w:tcPr>
            <w:tcW w:w="945" w:type="dxa"/>
            <w:shd w:val="clear" w:color="FFFFFF" w:fill="auto"/>
            <w:textDirection w:val="lrTb"/>
            <w:vAlign w:val="bottom"/>
          </w:tcPr>
          <w:p>
            <w:pPr>
              <w:jc w:val="left"/>
            </w:pPr>
            <w:r>
              <w:rPr>
                <w:rFonts w:ascii="Times New Roman" w:hAnsi="Times New Roman"/>
                <w:sz w:val="16"/>
                <w:szCs w:val="16"/>
              </w:rPr>
              <w:t/>
            </w:r>
          </w:p>
        </w:tc>
        <w:tc>
          <w:tcPr>
            <w:tcW w:w="3399" w:type="dxa"/>
            <w:shd w:val="clear" w:color="FFFFFF" w:fill="auto"/>
            <w:textDirection w:val="lrTb"/>
            <w:vAlign w:val="bottom"/>
          </w:tcPr>
          <w:p>
            <w:pPr>
              <w:jc w:val="left"/>
            </w:pPr>
            <w:r>
              <w:rPr>
                <w:rFonts w:ascii="Times New Roman" w:hAnsi="Times New Roman"/>
                <w:sz w:val="16"/>
                <w:szCs w:val="16"/>
              </w:rPr>
              <w:t/>
            </w:r>
          </w:p>
        </w:tc>
        <w:tc>
          <w:tcPr>
            <w:tcW w:w="6024" w:type="dxa"/>
            <w:shd w:val="clear" w:color="FFFFFF" w:fill="auto"/>
            <w:textDirection w:val="lrTb"/>
            <w:vAlign w:val="bottom"/>
          </w:tcPr>
          <w:p>
            <w:pPr>
              <w:jc w:val="left"/>
            </w:pPr>
            <w:r>
              <w:rPr>
                <w:rFonts w:ascii="Times New Roman" w:hAnsi="Times New Roman"/>
                <w:sz w:val="16"/>
                <w:szCs w:val="16"/>
              </w:rPr>
              <w:t/>
            </w:r>
          </w:p>
        </w:tc>
        <w:tc>
          <w:tcPr>
            <w:tcW w:w="945" w:type="dxa"/>
            <w:shd w:val="clear" w:color="FFFFFF" w:fill="auto"/>
            <w:textDirection w:val="lrTb"/>
            <w:vAlign w:val="bottom"/>
          </w:tcPr>
          <w:p>
            <w:pPr/>
            <w:r>
              <w:rPr>
                <w:rFonts w:ascii="Arial" w:hAnsi="Arial"/>
                <w:sz w:val="16"/>
                <w:szCs w:val="16"/>
              </w:rPr>
            </w:r>
          </w:p>
        </w:tc>
        <w:tc>
          <w:tcPr>
            <w:tcW w:w="1431" w:type="dxa"/>
            <w:shd w:val="clear" w:color="FFFFFF" w:fill="auto"/>
            <w:textDirection w:val="lrTb"/>
            <w:vAlign w:val="bottom"/>
          </w:tcPr>
          <w:p>
            <w:pPr/>
            <w:r>
              <w:rPr>
                <w:rFonts w:ascii="Arial" w:hAnsi="Arial"/>
                <w:sz w:val="16"/>
                <w:szCs w:val="16"/>
              </w:rPr>
            </w:r>
          </w:p>
        </w:tc>
        <w:tc>
          <w:tcPr>
            <w:tcW w:w="1562" w:type="dxa"/>
            <w:shd w:val="clear" w:color="FFFFFF" w:fill="auto"/>
            <w:textDirection w:val="lrTb"/>
            <w:vAlign w:val="bottom"/>
          </w:tcPr>
          <w:p>
            <w:pPr/>
            <w:r>
              <w:rPr>
                <w:rFonts w:ascii="Arial" w:hAnsi="Arial"/>
                <w:sz w:val="16"/>
                <w:szCs w:val="16"/>
              </w:rPr>
            </w:r>
          </w:p>
        </w:tc>
        <w:tc>
          <w:tcPr>
            <w:tcW w:w="1798" w:type="dxa"/>
            <w:shd w:val="clear" w:color="FFFFFF" w:fill="auto"/>
            <w:textDirection w:val="lrTb"/>
            <w:vAlign w:val="bottom"/>
          </w:tcPr>
          <w:p>
            <w:pPr/>
            <w:r>
              <w:rPr>
                <w:rFonts w:ascii="Arial" w:hAnsi="Arial"/>
                <w:sz w:val="16"/>
                <w:szCs w:val="16"/>
              </w:rPr>
            </w:r>
          </w:p>
        </w:tc>
        <w:tc>
          <w:tcPr>
            <w:tcW w:w="1706" w:type="dxa"/>
            <w:shd w:val="clear" w:color="FFFFFF" w:fill="auto"/>
            <w:textDirection w:val="lrTb"/>
            <w:vAlign w:val="bottom"/>
          </w:tcPr>
          <w:p>
            <w:pPr/>
            <w:r>
              <w:rPr>
                <w:rFonts w:ascii="Arial" w:hAnsi="Arial"/>
                <w:sz w:val="16"/>
                <w:szCs w:val="16"/>
              </w:rPr>
            </w:r>
          </w:p>
        </w:tc>
      </w:tr>
      <w:tr>
        <w:trPr>
          <w:trHeight w:val="300" w:hRule="atLeast"/>
        </w:trPr>
        <w:tc>
          <w:tcPr>
            <w:tcW w:w="18755" w:type="dxa"/>
            <w:gridSpan w:val="9"/>
            <w:shd w:val="clear" w:color="FFFFFF" w:fill="auto"/>
            <w:textDirection w:val="lrTb"/>
            <w:vAlign w:val="bottom"/>
          </w:tcPr>
          <w:p>
            <w:pPr>
              <w:jc w:val="left"/>
            </w:pPr>
            <w:r>
              <w:rPr>
                <w:rFonts w:ascii="Times New Roman" w:hAnsi="Times New Roman"/>
                <w:sz w:val="22"/>
                <w:szCs w:val="22"/>
              </w:rPr>
              <w:t>Исполнитель:</w:t>
            </w:r>
          </w:p>
        </w:tc>
      </w:tr>
      <w:tr>
        <w:trPr>
          <w:trHeight w:val="300" w:hRule="atLeast"/>
        </w:trPr>
        <w:tc>
          <w:tcPr>
            <w:tcW w:w="18755" w:type="dxa"/>
            <w:gridSpan w:val="9"/>
            <w:shd w:val="clear" w:color="FFFFFF" w:fill="auto"/>
            <w:textDirection w:val="lrTb"/>
            <w:vAlign w:val="bottom"/>
          </w:tcPr>
          <w:p>
            <w:pPr>
              <w:jc w:val="left"/>
            </w:pPr>
            <w:r>
              <w:rPr>
                <w:rFonts w:ascii="Times New Roman" w:hAnsi="Times New Roman"/>
                <w:sz w:val="22"/>
                <w:szCs w:val="22"/>
              </w:rPr>
              <w:t>Алешечкина Екатерина Александровна, тел. 220-16-04</w:t>
            </w: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