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9"/>
        <w:gridCol w:w="3164"/>
        <w:gridCol w:w="4657"/>
        <w:gridCol w:w="771"/>
        <w:gridCol w:w="1140"/>
        <w:gridCol w:w="1301"/>
        <w:gridCol w:w="1756"/>
        <w:gridCol w:w="1587"/>
        <w:gridCol w:w="600"/>
      </w:tblGrid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2441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RPr="0062155C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Pr="0062155C" w:rsidRDefault="006215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15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Pr="0062155C" w:rsidRDefault="00A7019A">
            <w:pPr>
              <w:jc w:val="center"/>
              <w:rPr>
                <w:lang w:val="en-US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Pr="0062155C" w:rsidRDefault="00A7019A">
            <w:pPr>
              <w:rPr>
                <w:lang w:val="en-US"/>
              </w:rPr>
            </w:pPr>
          </w:p>
        </w:tc>
        <w:tc>
          <w:tcPr>
            <w:tcW w:w="1140" w:type="dxa"/>
            <w:shd w:val="clear" w:color="FFFFFF" w:fill="auto"/>
            <w:vAlign w:val="bottom"/>
          </w:tcPr>
          <w:p w:rsidR="00A7019A" w:rsidRPr="0062155C" w:rsidRDefault="00A7019A">
            <w:pPr>
              <w:rPr>
                <w:lang w:val="en-US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A7019A" w:rsidRPr="0062155C" w:rsidRDefault="00A7019A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A7019A" w:rsidRPr="0062155C" w:rsidRDefault="00A7019A">
            <w:pPr>
              <w:rPr>
                <w:lang w:val="en-US"/>
              </w:rPr>
            </w:pPr>
          </w:p>
        </w:tc>
        <w:tc>
          <w:tcPr>
            <w:tcW w:w="1587" w:type="dxa"/>
            <w:shd w:val="clear" w:color="FFFFFF" w:fill="auto"/>
            <w:vAlign w:val="bottom"/>
          </w:tcPr>
          <w:p w:rsidR="00A7019A" w:rsidRPr="0062155C" w:rsidRDefault="00A7019A">
            <w:pPr>
              <w:rPr>
                <w:lang w:val="en-US"/>
              </w:rPr>
            </w:pP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 w:rsidP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№.728-2017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3893" w:type="dxa"/>
            <w:gridSpan w:val="2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4525"/>
        </w:trPr>
        <w:tc>
          <w:tcPr>
            <w:tcW w:w="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однокамерный имплантируемый,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PM1152 или эквивалент</w:t>
            </w:r>
          </w:p>
        </w:tc>
        <w:tc>
          <w:tcPr>
            <w:tcW w:w="4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A00(R); AAI(R); AAT(R); OAO; VOO(R); VVI(R); VVT(R)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: сбор наиболее важных диагностических данных и проведение тестов путем наж</w:t>
            </w:r>
            <w:r>
              <w:rPr>
                <w:rFonts w:ascii="Times New Roman" w:hAnsi="Times New Roman"/>
                <w:sz w:val="24"/>
                <w:szCs w:val="24"/>
              </w:rPr>
              <w:t>атия одной кнопки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30, 40–130 с шагом 5; 140–170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желудочкового или предсердного стимула От 0,25 до 4,0 В с шагом 0,25 В, от 4,5 до 7,5 В с шагом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стимула  0,</w:t>
            </w:r>
            <w:r>
              <w:rPr>
                <w:rFonts w:ascii="Times New Roman" w:hAnsi="Times New Roman"/>
                <w:sz w:val="24"/>
                <w:szCs w:val="24"/>
              </w:rPr>
              <w:t>05; 0,1-1,5 с шагом 0,1;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Чувствительность  0,5-5,0 с шагом 0,5; 6-10 с шагом 1,0; 12,5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  Выключен, 30–150 стимулов  в минуту с шагом 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Интревал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поиска  Выкл.,1, 5, 10, 15, 30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интервенции  1-10 стимуло</w:t>
            </w:r>
            <w:r>
              <w:rPr>
                <w:rFonts w:ascii="Times New Roman" w:hAnsi="Times New Roman"/>
                <w:sz w:val="24"/>
                <w:szCs w:val="24"/>
              </w:rPr>
              <w:t>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 Выкл.; 30–150 стимулов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.; выкл.(контроль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удара к удару)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дополнительного страхующего стимула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 стимула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Конфигурация чувствительности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(кончик-корпус), биполярная (кончик-кольцо),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Сенсор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ст</w:t>
            </w:r>
            <w:r>
              <w:rPr>
                <w:rFonts w:ascii="Times New Roman" w:hAnsi="Times New Roman"/>
                <w:sz w:val="24"/>
                <w:szCs w:val="24"/>
              </w:rPr>
              <w:t>имулов в минуту с шагом 5; 160-180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(-0.5); авто (+0.0); авто (+0.5); авто (+1.0); авто (+1.5); авто +(2.0); 1-7 с шагом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сенсора Авто (-1); авто (+0); авто (+1); авто (+2); авто (+3);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сенсора Быстро,  средне, медленно, очень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Выкл.;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Нижний порог сопротивления электрода 100-500  О</w:t>
            </w:r>
            <w:r>
              <w:rPr>
                <w:rFonts w:ascii="Times New Roman" w:hAnsi="Times New Roman"/>
                <w:sz w:val="24"/>
                <w:szCs w:val="24"/>
              </w:rPr>
              <w:t>м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 порог сопротивления электрода От 750-2000 Ом с шагом 250,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Гистерезис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Магнитный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желудочков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Мониторинг R-волны Выкл.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подавления фибрилляции предсердий Выкл.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подавления фибрилляции предсердий. 80-200 стимулов в минуту с шагом 10; 225-300 стимулов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110–200 ударов в минуту с шагом 10; </w:t>
            </w:r>
            <w:r>
              <w:rPr>
                <w:rFonts w:ascii="Times New Roman" w:hAnsi="Times New Roman"/>
                <w:sz w:val="24"/>
                <w:szCs w:val="24"/>
              </w:rPr>
              <w:t>225–300 ударов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МРТ-режимы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AOO, VOO,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базовый режим 30-120 уд/мин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стимулированная AV задержка 25 мс, 30 – 120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предсердного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предсердная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Т длительность предсердного импульса 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желудочкового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желудочковая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длительность желудочкового импульса 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14,4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41x50x6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19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9,7 см3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115"/>
        </w:trPr>
        <w:tc>
          <w:tcPr>
            <w:tcW w:w="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6,5F, длина 58 см или эквивалент</w:t>
            </w:r>
          </w:p>
        </w:tc>
        <w:tc>
          <w:tcPr>
            <w:tcW w:w="4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желудочковый биполярный электрод с пассивной фиксацией. Длина: 58 см. Наружный диаметр: 6,5 Френч.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IS-1 биполярный.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Фиксация:  Пассивная.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 проксимального полюса: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сплав, с фрактальной поверхностью. Материал изоляции: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Силикон+полиуретан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 w:rsidP="0062155C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</w:t>
            </w:r>
          </w:p>
        </w:tc>
        <w:tc>
          <w:tcPr>
            <w:tcW w:w="4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r>
              <w:rPr>
                <w:rFonts w:ascii="Times New Roman" w:hAnsi="Times New Roman"/>
                <w:sz w:val="24"/>
                <w:szCs w:val="24"/>
              </w:rPr>
              <w:t>не более 8F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621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 w:rsidP="0062155C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20.12.2019</w:t>
            </w:r>
            <w:r>
              <w:rPr>
                <w:rFonts w:ascii="Times New Roman" w:hAnsi="Times New Roman"/>
                <w:sz w:val="28"/>
                <w:szCs w:val="28"/>
              </w:rPr>
              <w:t>г., по потребности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Заказчика в соответствии с заявкой.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5"/>
        </w:trPr>
        <w:tc>
          <w:tcPr>
            <w:tcW w:w="15105" w:type="dxa"/>
            <w:gridSpan w:val="8"/>
            <w:vMerge w:val="restart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0"/>
        </w:trPr>
        <w:tc>
          <w:tcPr>
            <w:tcW w:w="15105" w:type="dxa"/>
            <w:gridSpan w:val="8"/>
            <w:vMerge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</w:t>
            </w:r>
            <w:r>
              <w:rPr>
                <w:rFonts w:ascii="Times New Roman" w:hAnsi="Times New Roman"/>
                <w:sz w:val="28"/>
                <w:szCs w:val="28"/>
              </w:rPr>
              <w:t>езняка 3-б, отдел обеспечения государственных закупок, тел. 220-16-04.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 w:rsidP="0062155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И.О. Куликова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29" w:type="dxa"/>
            <w:shd w:val="clear" w:color="FFFFFF" w:fill="auto"/>
            <w:vAlign w:val="bottom"/>
          </w:tcPr>
          <w:p w:rsidR="00A7019A" w:rsidRDefault="00A7019A"/>
        </w:tc>
        <w:tc>
          <w:tcPr>
            <w:tcW w:w="3164" w:type="dxa"/>
            <w:shd w:val="clear" w:color="FFFFFF" w:fill="auto"/>
            <w:vAlign w:val="bottom"/>
          </w:tcPr>
          <w:p w:rsidR="00A7019A" w:rsidRDefault="00A7019A"/>
        </w:tc>
        <w:tc>
          <w:tcPr>
            <w:tcW w:w="4657" w:type="dxa"/>
            <w:shd w:val="clear" w:color="FFFFFF" w:fill="auto"/>
            <w:vAlign w:val="bottom"/>
          </w:tcPr>
          <w:p w:rsidR="00A7019A" w:rsidRDefault="00A7019A"/>
        </w:tc>
        <w:tc>
          <w:tcPr>
            <w:tcW w:w="77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140" w:type="dxa"/>
            <w:shd w:val="clear" w:color="FFFFFF" w:fill="auto"/>
            <w:vAlign w:val="bottom"/>
          </w:tcPr>
          <w:p w:rsidR="00A7019A" w:rsidRDefault="00A7019A"/>
        </w:tc>
        <w:tc>
          <w:tcPr>
            <w:tcW w:w="1301" w:type="dxa"/>
            <w:shd w:val="clear" w:color="FFFFFF" w:fill="auto"/>
            <w:vAlign w:val="bottom"/>
          </w:tcPr>
          <w:p w:rsidR="00A7019A" w:rsidRDefault="00A7019A"/>
        </w:tc>
        <w:tc>
          <w:tcPr>
            <w:tcW w:w="1756" w:type="dxa"/>
            <w:shd w:val="clear" w:color="FFFFFF" w:fill="auto"/>
            <w:vAlign w:val="bottom"/>
          </w:tcPr>
          <w:p w:rsidR="00A7019A" w:rsidRDefault="00A7019A"/>
        </w:tc>
        <w:tc>
          <w:tcPr>
            <w:tcW w:w="1587" w:type="dxa"/>
            <w:shd w:val="clear" w:color="FFFFFF" w:fill="auto"/>
            <w:vAlign w:val="bottom"/>
          </w:tcPr>
          <w:p w:rsidR="00A7019A" w:rsidRDefault="00A7019A"/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A7019A" w:rsidTr="0062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7019A" w:rsidRDefault="0062155C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62155C"/>
    <w:sectPr w:rsidR="00000000" w:rsidSect="0062155C">
      <w:pgSz w:w="16839" w:h="11907" w:orient="landscape"/>
      <w:pgMar w:top="851" w:right="567" w:bottom="1135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19A"/>
    <w:rsid w:val="0062155C"/>
    <w:rsid w:val="00A7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7019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4281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2017-11-13T08:56:00Z</dcterms:created>
  <dcterms:modified xsi:type="dcterms:W3CDTF">2017-11-13T08:59:00Z</dcterms:modified>
</cp:coreProperties>
</file>