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3A" w:rsidRDefault="00FC774D">
      <w:pPr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</w:rPr>
        <w:t xml:space="preserve"> </w:t>
      </w:r>
    </w:p>
    <w:p w:rsidR="00AE378A" w:rsidRDefault="00AE378A" w:rsidP="00AE378A">
      <w:pPr>
        <w:jc w:val="both"/>
        <w:rPr>
          <w:rFonts w:ascii="Times New Roman" w:hAnsi="Times New Roman" w:cs="Times New Roman"/>
          <w:sz w:val="27"/>
          <w:szCs w:val="27"/>
        </w:rPr>
      </w:pPr>
      <w:r w:rsidRPr="00AE378A">
        <w:rPr>
          <w:rFonts w:ascii="Times New Roman" w:hAnsi="Times New Roman" w:cs="Times New Roman"/>
          <w:b/>
          <w:color w:val="FF0000"/>
          <w:sz w:val="27"/>
          <w:szCs w:val="27"/>
        </w:rPr>
        <w:t>Прегравидарная подготовка</w:t>
      </w:r>
      <w:r w:rsidRPr="00AE378A">
        <w:rPr>
          <w:rFonts w:ascii="Times New Roman" w:hAnsi="Times New Roman" w:cs="Times New Roman"/>
          <w:sz w:val="27"/>
          <w:szCs w:val="27"/>
        </w:rPr>
        <w:t>— комплекс диагностических, профилактических</w:t>
      </w:r>
      <w:r>
        <w:rPr>
          <w:rFonts w:ascii="Times New Roman" w:hAnsi="Times New Roman" w:cs="Times New Roman"/>
          <w:sz w:val="27"/>
          <w:szCs w:val="27"/>
        </w:rPr>
        <w:t xml:space="preserve"> и лечебных мероприятий, на</w:t>
      </w:r>
      <w:r w:rsidRPr="00AE378A">
        <w:rPr>
          <w:rFonts w:ascii="Times New Roman" w:hAnsi="Times New Roman" w:cs="Times New Roman"/>
          <w:sz w:val="27"/>
          <w:szCs w:val="27"/>
        </w:rPr>
        <w:t>правленных на подготовку пары к успешному зачатию,</w:t>
      </w:r>
      <w:r>
        <w:rPr>
          <w:rFonts w:ascii="Times New Roman" w:hAnsi="Times New Roman" w:cs="Times New Roman"/>
          <w:sz w:val="27"/>
          <w:szCs w:val="27"/>
        </w:rPr>
        <w:t xml:space="preserve"> нормальному течению беременно</w:t>
      </w:r>
      <w:r w:rsidRPr="00AE378A">
        <w:rPr>
          <w:rFonts w:ascii="Times New Roman" w:hAnsi="Times New Roman" w:cs="Times New Roman"/>
          <w:sz w:val="27"/>
          <w:szCs w:val="27"/>
        </w:rPr>
        <w:t>сти и рожде</w:t>
      </w:r>
      <w:r>
        <w:rPr>
          <w:rFonts w:ascii="Times New Roman" w:hAnsi="Times New Roman" w:cs="Times New Roman"/>
          <w:sz w:val="27"/>
          <w:szCs w:val="27"/>
        </w:rPr>
        <w:t>нию здорового ребёнка, на оцен</w:t>
      </w:r>
      <w:r w:rsidRPr="00AE378A">
        <w:rPr>
          <w:rFonts w:ascii="Times New Roman" w:hAnsi="Times New Roman" w:cs="Times New Roman"/>
          <w:sz w:val="27"/>
          <w:szCs w:val="27"/>
        </w:rPr>
        <w:t>ку имеющихся факторов риска и устранение/ уменьшение их влияния.</w:t>
      </w:r>
    </w:p>
    <w:p w:rsidR="00656124" w:rsidRPr="00656124" w:rsidRDefault="00656124" w:rsidP="0065612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Прегравидарная подготовка включает следующие аспекты:</w:t>
      </w:r>
    </w:p>
    <w:p w:rsidR="00656124" w:rsidRDefault="00656124" w:rsidP="00656124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75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Медико-генетическое консультирование и оценка репродуктивного здоровья пары.</w:t>
      </w:r>
    </w:p>
    <w:p w:rsidR="00656124" w:rsidRDefault="00656124" w:rsidP="00656124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75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Диагностика состояния организма будущих родителей. Это включает сбор анамнеза, консультации специалистов (уролога, гинеколога, маммолога, генетика и т.д.), сдачу общих и биохимических анализов, УЗИ внутренних органов, исследования на урогинекологические и TORCH-инфекции (токсоплазмоз, краснуху, цитомегаловирус и герпес).</w:t>
      </w:r>
    </w:p>
    <w:p w:rsidR="00656124" w:rsidRDefault="00656124" w:rsidP="00656124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75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Лечение выявленных инфекций и отклонений, стоматологические и гинекологические манипуляции, повышение уровня фертильности (при необходимости).</w:t>
      </w:r>
    </w:p>
    <w:p w:rsidR="00656124" w:rsidRDefault="00656124" w:rsidP="00656124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75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Назначение витаминно-минеральных комплексов с обязательным содержанием фолиевой кислоты, йода и антиоксидантов, что значительно сокращает вероятность аномалий развития плода, снижает частоту токсикоза и угрозу выкидыша в первом триместре.</w:t>
      </w:r>
    </w:p>
    <w:p w:rsidR="00656124" w:rsidRPr="00656124" w:rsidRDefault="00656124" w:rsidP="00656124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75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Формирование здорового образа жизни, включающего правильное питание, отказ от вредных привычек (курения и алкоголя), регулярные занятия спортом и выработку режима дня с достаточным количеством сна.</w:t>
      </w:r>
    </w:p>
    <w:p w:rsidR="00656124" w:rsidRDefault="00656124" w:rsidP="0065612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656124" w:rsidRDefault="00656124" w:rsidP="0065612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56124">
        <w:rPr>
          <w:rFonts w:ascii="Times New Roman" w:hAnsi="Times New Roman" w:cs="Times New Roman"/>
          <w:b/>
          <w:color w:val="FF0000"/>
          <w:sz w:val="27"/>
          <w:szCs w:val="27"/>
        </w:rPr>
        <w:t>Эти меры положительно влияют на здоровье будущих родителей и снижают риски развития осложнений и заболеваний во время беременности.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</w:p>
    <w:p w:rsidR="00656124" w:rsidRPr="00656124" w:rsidRDefault="00656124" w:rsidP="00656124">
      <w:pPr>
        <w:shd w:val="clear" w:color="auto" w:fill="FDE9D9" w:themeFill="accent6" w:themeFillTint="33"/>
        <w:spacing w:after="15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56124">
        <w:rPr>
          <w:rFonts w:ascii="Times New Roman" w:hAnsi="Times New Roman" w:cs="Times New Roman"/>
          <w:sz w:val="27"/>
          <w:szCs w:val="27"/>
        </w:rPr>
        <w:t>Прегравидарное консультирование. Начинается с визита к акушеру-гинекологу, который составляет индивидуальный план действий по подготовке и планированию беременности.</w:t>
      </w:r>
    </w:p>
    <w:p w:rsidR="00656124" w:rsidRPr="00656124" w:rsidRDefault="00656124" w:rsidP="00656124">
      <w:pPr>
        <w:shd w:val="clear" w:color="auto" w:fill="FFFFFF"/>
        <w:spacing w:after="150" w:line="240" w:lineRule="auto"/>
        <w:rPr>
          <w:rFonts w:ascii="Proxima Nova" w:eastAsia="Times New Roman" w:hAnsi="Proxima Nova" w:cs="Times New Roman"/>
          <w:color w:val="000000"/>
          <w:sz w:val="21"/>
          <w:szCs w:val="21"/>
        </w:rPr>
      </w:pPr>
      <w:r w:rsidRPr="00656124">
        <w:rPr>
          <w:rFonts w:ascii="Proxima Nova" w:eastAsia="Times New Roman" w:hAnsi="Proxima Nova" w:cs="Times New Roman"/>
          <w:color w:val="000000"/>
          <w:sz w:val="21"/>
          <w:szCs w:val="21"/>
        </w:rPr>
        <w:t> </w:t>
      </w:r>
    </w:p>
    <w:p w:rsidR="00656124" w:rsidRPr="00656124" w:rsidRDefault="00656124" w:rsidP="00656124">
      <w:pPr>
        <w:shd w:val="clear" w:color="auto" w:fill="FFFFFF"/>
        <w:spacing w:before="100" w:beforeAutospacing="1" w:after="75" w:line="240" w:lineRule="auto"/>
        <w:ind w:left="75"/>
        <w:jc w:val="both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b/>
          <w:sz w:val="27"/>
          <w:szCs w:val="27"/>
        </w:rPr>
        <w:t>Модификация образа жизни</w:t>
      </w:r>
      <w:r w:rsidRPr="00656124">
        <w:rPr>
          <w:rFonts w:ascii="Proxima Nova" w:eastAsia="Times New Roman" w:hAnsi="Proxima Nova" w:cs="Times New Roman"/>
          <w:color w:val="000000"/>
          <w:sz w:val="21"/>
          <w:szCs w:val="21"/>
        </w:rPr>
        <w:t xml:space="preserve">. </w:t>
      </w:r>
      <w:r w:rsidRPr="00656124">
        <w:rPr>
          <w:rFonts w:ascii="Times New Roman" w:hAnsi="Times New Roman" w:cs="Times New Roman"/>
          <w:sz w:val="27"/>
          <w:szCs w:val="27"/>
        </w:rPr>
        <w:t>Включает отказ от никотина, алкоголя и психотропных веществ, коррекцию массы тела и диеты, нормализацию режима сна и физических нагрузок, изменение деятельности, если она связана с вредными производственными факторами.</w:t>
      </w:r>
    </w:p>
    <w:p w:rsidR="00656124" w:rsidRPr="00656124" w:rsidRDefault="00656124" w:rsidP="00656124">
      <w:pPr>
        <w:shd w:val="clear" w:color="auto" w:fill="FFFFFF"/>
        <w:spacing w:before="100" w:beforeAutospacing="1" w:after="75" w:line="240" w:lineRule="auto"/>
        <w:ind w:left="75"/>
        <w:jc w:val="both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b/>
          <w:sz w:val="27"/>
          <w:szCs w:val="27"/>
        </w:rPr>
        <w:t>Прегравидарная вакцинация.</w:t>
      </w:r>
      <w:r w:rsidRPr="006561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6124">
        <w:rPr>
          <w:rFonts w:ascii="Times New Roman" w:hAnsi="Times New Roman" w:cs="Times New Roman"/>
          <w:sz w:val="27"/>
          <w:szCs w:val="27"/>
        </w:rPr>
        <w:t>При отсутствии прививок от столбняка, дифтерии, краснухи, кори, вирусного гепатита В, их необходимо поставить до наступления беременности.</w:t>
      </w:r>
    </w:p>
    <w:p w:rsidR="00656124" w:rsidRPr="00656124" w:rsidRDefault="00656124" w:rsidP="00656124">
      <w:pPr>
        <w:shd w:val="clear" w:color="auto" w:fill="FFFFFF"/>
        <w:spacing w:before="100" w:beforeAutospacing="1" w:after="75" w:line="240" w:lineRule="auto"/>
        <w:ind w:left="75"/>
        <w:jc w:val="both"/>
        <w:rPr>
          <w:rFonts w:ascii="Times New Roman" w:hAnsi="Times New Roman" w:cs="Times New Roman"/>
          <w:sz w:val="27"/>
          <w:szCs w:val="27"/>
        </w:rPr>
      </w:pPr>
      <w:r w:rsidRPr="00656124">
        <w:rPr>
          <w:rFonts w:ascii="Times New Roman" w:hAnsi="Times New Roman" w:cs="Times New Roman"/>
          <w:b/>
          <w:sz w:val="27"/>
          <w:szCs w:val="27"/>
        </w:rPr>
        <w:lastRenderedPageBreak/>
        <w:t>Дотация витаминов и микроэлементов.</w:t>
      </w:r>
      <w:r w:rsidRPr="00656124">
        <w:rPr>
          <w:rFonts w:ascii="Times New Roman" w:hAnsi="Times New Roman" w:cs="Times New Roman"/>
          <w:sz w:val="27"/>
          <w:szCs w:val="27"/>
        </w:rPr>
        <w:t xml:space="preserve"> Даже при нормальных уровнях витаминов и микроэлементов обычно назначается их дополнительный прием. Это связано с высокими нагрузками на организм будущей мамы и необходимостью значительного увеличения потребления витаминов и микроэлементов. Рекомендуемые препараты </w:t>
      </w:r>
      <w:r>
        <w:rPr>
          <w:rFonts w:ascii="Times New Roman" w:hAnsi="Times New Roman" w:cs="Times New Roman"/>
          <w:sz w:val="27"/>
          <w:szCs w:val="27"/>
        </w:rPr>
        <w:t xml:space="preserve"> обычно </w:t>
      </w:r>
      <w:r w:rsidRPr="00656124">
        <w:rPr>
          <w:rFonts w:ascii="Times New Roman" w:hAnsi="Times New Roman" w:cs="Times New Roman"/>
          <w:sz w:val="27"/>
          <w:szCs w:val="27"/>
        </w:rPr>
        <w:t>включают фолиевую кислоту, железо, йод, витамин D3 и полиненасыщенные жирные кислоты. Точная схема назначается врачом на основании результатов анализов.</w:t>
      </w:r>
    </w:p>
    <w:p w:rsidR="00656124" w:rsidRPr="00656124" w:rsidRDefault="00656124" w:rsidP="0065612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56124">
        <w:rPr>
          <w:rFonts w:ascii="Times New Roman" w:hAnsi="Times New Roman" w:cs="Times New Roman"/>
          <w:b/>
          <w:color w:val="FF0000"/>
          <w:sz w:val="27"/>
          <w:szCs w:val="27"/>
        </w:rPr>
        <w:t>Прегравидарная подготовка позволяет существенно снизить риски и подготовить организм к успешному зачатию и вынашиванию здорового ребенка.</w:t>
      </w:r>
    </w:p>
    <w:p w:rsidR="00DA761D" w:rsidRPr="00DA761D" w:rsidRDefault="00452401" w:rsidP="00E8418A">
      <w:pPr>
        <w:spacing w:after="0"/>
        <w:jc w:val="both"/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>Назначаемые</w:t>
      </w:r>
      <w:r w:rsidR="00DA761D" w:rsidRPr="00AB5F70">
        <w:rPr>
          <w:rFonts w:ascii="Times New Roman" w:hAnsi="Times New Roman" w:cs="Times New Roman"/>
          <w:b/>
          <w:sz w:val="27"/>
          <w:szCs w:val="27"/>
        </w:rPr>
        <w:t xml:space="preserve">  обследования</w:t>
      </w:r>
      <w:r>
        <w:rPr>
          <w:rFonts w:ascii="Times New Roman" w:hAnsi="Times New Roman" w:cs="Times New Roman"/>
          <w:b/>
          <w:sz w:val="27"/>
          <w:szCs w:val="27"/>
        </w:rPr>
        <w:t>, консультации смежных специалистов и</w:t>
      </w:r>
      <w:r w:rsidR="00DA761D" w:rsidRPr="00AB5F70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рекомендации по приему   лекарственных препаратов </w:t>
      </w:r>
      <w:r w:rsidR="00DA761D" w:rsidRPr="00AB5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5F70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>п</w:t>
      </w:r>
      <w:r w:rsidR="00AB5F70" w:rsidRPr="00FC774D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>ациенткам  планирующим  беременность (на прегравидарном этапе</w:t>
      </w:r>
      <w:r w:rsidR="00656124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 xml:space="preserve"> </w:t>
      </w:r>
      <w:r w:rsidR="00E8418A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 xml:space="preserve"> </w:t>
      </w:r>
      <w:r w:rsidR="00656124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>для условно здоровых пар</w:t>
      </w:r>
      <w:r w:rsidR="00AB5F70" w:rsidRPr="00FC774D">
        <w:rPr>
          <w:rFonts w:ascii="Times New Roman" w:hAnsi="Times New Roman" w:cs="Times New Roman"/>
          <w:b/>
          <w:color w:val="222222"/>
          <w:sz w:val="27"/>
          <w:szCs w:val="27"/>
          <w:shd w:val="clear" w:color="auto" w:fill="FFFFFF"/>
        </w:rPr>
        <w:t>)</w:t>
      </w:r>
    </w:p>
    <w:tbl>
      <w:tblPr>
        <w:tblW w:w="97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3972"/>
      </w:tblGrid>
      <w:tr w:rsidR="00DA761D" w:rsidRPr="00DA761D" w:rsidTr="00DA761D">
        <w:trPr>
          <w:trHeight w:val="14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761D" w:rsidRPr="00DA761D" w:rsidRDefault="00DA761D" w:rsidP="00E8418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F70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исследования</w:t>
            </w:r>
          </w:p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5F70">
              <w:rPr>
                <w:rFonts w:ascii="Times New Roman" w:hAnsi="Times New Roman" w:cs="Times New Roman"/>
                <w:b/>
                <w:sz w:val="27"/>
                <w:szCs w:val="27"/>
              </w:rPr>
              <w:t>Кратность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Сбор анамнеза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Оценка риска </w:t>
            </w:r>
            <w:r w:rsidR="00AB5F70" w:rsidRPr="00AB5F70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тромбоэмболических осложнений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Оценка жалоб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Общий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Измерение роста, массы тела, ИМТ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Измерение АД и пульса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Пальпация молочных желез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Гинекологический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AB5F7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222222"/>
                <w:sz w:val="27"/>
                <w:szCs w:val="27"/>
              </w:rPr>
            </w:pPr>
            <w:r w:rsidRPr="00AB5F70">
              <w:rPr>
                <w:rFonts w:ascii="Times New Roman" w:hAnsi="Times New Roman" w:cs="Times New Roman"/>
                <w:b/>
                <w:sz w:val="27"/>
                <w:szCs w:val="27"/>
              </w:rPr>
              <w:t>Лабораторные диагностические исследования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исследование уровня антител классов M, G к ВИЧ-1/2 и антигена p24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(+обследование партнера пациентки)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определение антител к поверхностному антигену (</w:t>
            </w:r>
            <w:r w:rsidR="00452401"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HbsAg</w:t>
            </w: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) вируса гепатита В или определение антигена (HbsAg) вируса гепатита В </w:t>
            </w:r>
            <w:r w:rsidR="00452401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</w:t>
            </w: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(+обследование партнера пациентки)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lastRenderedPageBreak/>
              <w:t>Направление на определение суммарных антител классов М и G к вирусу гепатита С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(+обследование партнера пациентки)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определение антител к бледной трепонеме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(+обследование партнера пациентки)</w:t>
            </w: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определение антител классов М и G к вирусу краснухи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микроскопическое исследование влагалищных мазков, включая микроскопическое исследование отделяемого женских половых органов на гонококк (</w:t>
            </w:r>
            <w:r w:rsidRPr="00AB5F70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Neisseria gonorrhoeae</w:t>
            </w: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), микроскопическое исследование отделяемого женских половых органов на трихомонады (</w:t>
            </w:r>
            <w:r w:rsidRPr="00AB5F70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Trichomonas vaginalis</w:t>
            </w: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), микроскопическое исследование влагалищного отделяемого на дрожжевые грибы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определение основных групп по системе AB0 и антигена D системы Резус (резус-фактор)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(+определение резус-фактора партнера пациентки у резус-отрицательных</w:t>
            </w:r>
            <w:r w:rsidR="00452401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</w:t>
            </w: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 пациенток)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проведение общего (клинического) анализа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определение уровня глюкозы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исследование уровня ТТГ и определение содержания антител к тиреопероксидазе (АТ-ТПО) в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проведение общего (клинического) анализа мочи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452401">
        <w:trPr>
          <w:trHeight w:val="2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DA76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lastRenderedPageBreak/>
              <w:t>Направление на проведение цитологического исследования микропрепарата шейки матки (мазка с поверхности шейки матки и цервикального канала)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Однократно. Проводится в зависимости от даты предыдущего исследования, его результатов, наличия инфекции, вызванной вирусом папилломы человека, возраста пациентки </w:t>
            </w:r>
            <w:r w:rsidR="00452401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.</w:t>
            </w:r>
          </w:p>
        </w:tc>
      </w:tr>
      <w:tr w:rsidR="00DA761D" w:rsidRPr="00DA761D" w:rsidTr="00DA761D">
        <w:trPr>
          <w:trHeight w:val="3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222222"/>
                <w:sz w:val="27"/>
                <w:szCs w:val="27"/>
              </w:rPr>
            </w:pPr>
            <w:r w:rsidRPr="00452401">
              <w:rPr>
                <w:rFonts w:ascii="Times New Roman" w:hAnsi="Times New Roman" w:cs="Times New Roman"/>
                <w:b/>
                <w:sz w:val="27"/>
                <w:szCs w:val="27"/>
              </w:rPr>
              <w:t>Инструментальные диагностические исследования</w:t>
            </w:r>
          </w:p>
        </w:tc>
      </w:tr>
      <w:tr w:rsidR="00DA761D" w:rsidRPr="00DA761D" w:rsidTr="00DA761D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УЗИ матки и придатков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452401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 xml:space="preserve">Направление на регистрацию </w:t>
            </w:r>
            <w:r w:rsidR="00DA761D"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электрокардиограммы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</w:tc>
      </w:tr>
      <w:tr w:rsidR="00DA761D" w:rsidRPr="00DA761D" w:rsidTr="00DA761D">
        <w:trPr>
          <w:trHeight w:val="3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222222"/>
                <w:sz w:val="27"/>
                <w:szCs w:val="27"/>
              </w:rPr>
            </w:pPr>
            <w:r w:rsidRPr="00452401">
              <w:rPr>
                <w:rFonts w:ascii="Times New Roman" w:hAnsi="Times New Roman" w:cs="Times New Roman"/>
                <w:b/>
                <w:sz w:val="27"/>
                <w:szCs w:val="27"/>
              </w:rPr>
              <w:t>Консультации смежных специалистов</w:t>
            </w: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консультацию врача-терапевта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консультацию врача-стоматолога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</w:t>
            </w:r>
          </w:p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</w:tr>
      <w:tr w:rsidR="00DA761D" w:rsidRPr="00DA761D" w:rsidTr="00DA761D">
        <w:trPr>
          <w:trHeight w:val="1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Направление на консультацию врача-генетика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Однократно при выявлении у пациентки и/или ее мужа/партнера факторов риска рождения ребенка с хромосомной или генной аномалией</w:t>
            </w:r>
          </w:p>
        </w:tc>
      </w:tr>
      <w:tr w:rsidR="00DA761D" w:rsidRPr="00DA761D" w:rsidTr="00DA761D">
        <w:trPr>
          <w:trHeight w:val="3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452401">
              <w:rPr>
                <w:rFonts w:ascii="Times New Roman" w:hAnsi="Times New Roman" w:cs="Times New Roman"/>
                <w:b/>
                <w:sz w:val="27"/>
                <w:szCs w:val="27"/>
              </w:rPr>
              <w:t>Назначение лекарственных препаратов</w:t>
            </w: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Назначение приема фолиевой кислоты**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400-800 мкг в день перорально за 2-3 месяца до наступления беременности</w:t>
            </w:r>
          </w:p>
        </w:tc>
      </w:tr>
      <w:tr w:rsidR="00DA761D" w:rsidRPr="00DA761D" w:rsidTr="00DA761D">
        <w:trPr>
          <w:trHeight w:val="6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Назначение приема калия йодида**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A761D" w:rsidRPr="00DA761D" w:rsidRDefault="00DA761D" w:rsidP="004524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DA761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200 мкг в день перорально за 2-3 месяца до наступления беременности</w:t>
            </w:r>
          </w:p>
        </w:tc>
      </w:tr>
    </w:tbl>
    <w:p w:rsidR="00AE378A" w:rsidRPr="00452401" w:rsidRDefault="00AE378A" w:rsidP="00452401">
      <w:pPr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sectPr w:rsidR="00AE378A" w:rsidRPr="00452401" w:rsidSect="00AB5F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0DBC"/>
    <w:multiLevelType w:val="multilevel"/>
    <w:tmpl w:val="2F4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1545D"/>
    <w:multiLevelType w:val="multilevel"/>
    <w:tmpl w:val="9C7A7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9685797"/>
    <w:multiLevelType w:val="multilevel"/>
    <w:tmpl w:val="2C00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C26D0"/>
    <w:multiLevelType w:val="multilevel"/>
    <w:tmpl w:val="58FE5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C0DA7"/>
    <w:multiLevelType w:val="multilevel"/>
    <w:tmpl w:val="E76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74D"/>
    <w:rsid w:val="000E2F3A"/>
    <w:rsid w:val="003C1F8A"/>
    <w:rsid w:val="00452401"/>
    <w:rsid w:val="00656124"/>
    <w:rsid w:val="00AB5F70"/>
    <w:rsid w:val="00AE378A"/>
    <w:rsid w:val="00DA761D"/>
    <w:rsid w:val="00E8418A"/>
    <w:rsid w:val="00FC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3A"/>
  </w:style>
  <w:style w:type="paragraph" w:styleId="4">
    <w:name w:val="heading 4"/>
    <w:basedOn w:val="a"/>
    <w:link w:val="40"/>
    <w:uiPriority w:val="9"/>
    <w:qFormat/>
    <w:rsid w:val="00656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6561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61D"/>
    <w:rPr>
      <w:b/>
      <w:bCs/>
    </w:rPr>
  </w:style>
  <w:style w:type="character" w:styleId="a5">
    <w:name w:val="Emphasis"/>
    <w:basedOn w:val="a0"/>
    <w:uiPriority w:val="20"/>
    <w:qFormat/>
    <w:rsid w:val="00DA761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561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612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2024-08-09T04:13:00Z</dcterms:created>
  <dcterms:modified xsi:type="dcterms:W3CDTF">2024-08-10T02:00:00Z</dcterms:modified>
</cp:coreProperties>
</file>