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81"/>
        <w:gridCol w:w="2054"/>
        <w:gridCol w:w="2185"/>
        <w:gridCol w:w="568"/>
        <w:gridCol w:w="722"/>
        <w:gridCol w:w="794"/>
        <w:gridCol w:w="1509"/>
        <w:gridCol w:w="1266"/>
        <w:gridCol w:w="1410"/>
      </w:tblGrid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6" w:type="dxa"/>
            <w:gridSpan w:val="2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RPr="00BD50C6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Pr="00BD50C6" w:rsidRDefault="00BD50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D5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D50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D5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D50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D50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50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68" w:type="dxa"/>
            <w:shd w:val="clear" w:color="FFFFFF" w:fill="auto"/>
            <w:vAlign w:val="bottom"/>
          </w:tcPr>
          <w:p w:rsidR="00163B49" w:rsidRPr="00BD50C6" w:rsidRDefault="00163B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Pr="00BD50C6" w:rsidRDefault="00163B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Pr="00BD50C6" w:rsidRDefault="00163B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Pr="00BD50C6" w:rsidRDefault="00163B4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Pr="00BD50C6" w:rsidRDefault="00163B49">
            <w:pPr>
              <w:rPr>
                <w:szCs w:val="16"/>
                <w:lang w:val="en-US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Pr="00BD50C6" w:rsidRDefault="00163B49">
            <w:pPr>
              <w:rPr>
                <w:szCs w:val="16"/>
                <w:lang w:val="en-US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02/07/2021 г. №.912-2021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720" w:type="dxa"/>
            <w:gridSpan w:val="3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8313" w:type="dxa"/>
            <w:gridSpan w:val="7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163B49" w:rsidRDefault="00BD50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63B49" w:rsidRDefault="00BD50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размер 3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орофарингеальный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быть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изготовлен из мягкого поливинилхлорида,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прозрачный, не содержать латекса и полиэтилена,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наконечником. Встроенный «байт блок» предотвращает окклюзию воздуховода при сжатии челюстей пациента, цветовой код размера: №3 - зелёны</w:t>
            </w:r>
            <w:r>
              <w:rPr>
                <w:rFonts w:ascii="Times New Roman" w:hAnsi="Times New Roman"/>
                <w:sz w:val="24"/>
                <w:szCs w:val="24"/>
              </w:rPr>
              <w:t>й. Длина 78±5 мм. Чистая упаковка. Одноразового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ель для ультразвуковой диагностики, повышенной вязкости, 5 л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Гель для ультразвуковой диагностики (ультразвуковой терапии), повышенной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вязкости, в упаковках (канистрах) по 5 л.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гут венозный для внутривенных манипуляций с застежкой, взрослый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Представляет собой практичную давящую повязку для вен (венозный жгут). Состоит из мягкой упругой резинотканевой ленты с наконечником и защелкой, пластмассового корпуса, </w:t>
            </w:r>
            <w:r>
              <w:rPr>
                <w:rFonts w:ascii="Times New Roman" w:hAnsi="Times New Roman"/>
                <w:sz w:val="24"/>
                <w:szCs w:val="24"/>
              </w:rPr>
              <w:t>замыкающего при манипуляциях ленту в петлю. При сжимании не вызывает боли и ущемления кожи и одежды. Степень сжатия петли легко регулируется: усиливается подтягиванием за наконечник жгута, ослабляется и отстегивается нажатиями на клавиши. Длина ленты в сво</w:t>
            </w:r>
            <w:r>
              <w:rPr>
                <w:rFonts w:ascii="Times New Roman" w:hAnsi="Times New Roman"/>
                <w:sz w:val="24"/>
                <w:szCs w:val="24"/>
              </w:rPr>
              <w:t>бодном состоянии не менее 45 см, в растянутом виде не менее 85 см. Ширина ленты - 2,5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аглушка универсальная, ЛЛ, синяя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Заглушка для герметичного закрытия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систем, катетеров, фильтров и других принадлежностей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инфузионной терапии при помощи винтового соединения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Цвет синий.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онд желудочный для реанимации СН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Зонд желудочный из медицинского ПВХ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(подтверждение токсикологической экспертизы компетентного органа). В качестве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пластификаторов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полиадипаты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что указано на упаковке.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А78. Размер СН 16/80 см. Коннектор цветной воронкообразный. Дистальный конец округлый,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2 овальными дренажными отверстиями. Указание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фталатов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блист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ерной упаковке, а также на возможность длительного, безопасного стояния. Упакован в стерильный раскрываемый блистер. Стерилизован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хранения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гла спинальная 22G, тип "Стилет" с ликвор-идентификатором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Материалы: медицинская нержавеющая сталь, поликарбонат, полипропилен. Состав: Игла – тонкостенная, устойчивая на излом, диаметром 22G, длиной не более 88 мм,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 дистального кончика типа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"Стилет"; двухкомпонентный павильон иглы - вну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пункции;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-овальной формы с </w:t>
            </w:r>
            <w:r>
              <w:rPr>
                <w:rFonts w:ascii="Times New Roman" w:hAnsi="Times New Roman"/>
                <w:sz w:val="24"/>
                <w:szCs w:val="24"/>
              </w:rPr>
              <w:t>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со всех сторон; встроенный в наружную часть павильона  специал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выступ-стрелка, указывающий направление среза иглы для четкой тактильной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внутренним диаметром и срезом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</w:t>
            </w:r>
            <w:r>
              <w:rPr>
                <w:rFonts w:ascii="Times New Roman" w:hAnsi="Times New Roman"/>
                <w:sz w:val="24"/>
                <w:szCs w:val="24"/>
              </w:rPr>
              <w:t>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диаметра иглы (черный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среза иглы.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гла спинальная 25G, тип "Стилет" с </w:t>
            </w:r>
            <w:r>
              <w:rPr>
                <w:rFonts w:ascii="Times New Roman" w:hAnsi="Times New Roman"/>
                <w:sz w:val="24"/>
                <w:szCs w:val="24"/>
              </w:rPr>
              <w:t>ликвор-идентификатором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Назначение: проведение спинальной анестезии. Материалы: медицинская нержавеющая сталь, поликарбонат, полипропилен. Состав: Игла – тонкостенная, устойчивая на излом, диаметром 25G, длиной 120 мм,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микропрецизионным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срезом  дистальног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кончика типа "Стилет"; двухкомпонентный павильон иглы - внутренняя часть со встроенной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цветоизменяющейся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призмой-идентификатором поступления ликвора в просвет павильона для получения четкого, быстрого и надежного подтверждения успешности выполнения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пункц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ии; наружная часть прозрачная,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трапецевидно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-овальной формы с дополнительными пальцевыми упорами и четырьмя разнонаправленными овальными вырезами для удобного и надежного удерживания иглы при пункции, а также возможности визуализации призмы-идентификатора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всех сторон павильона; утопленный вглубь павильона разъем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Слип Муж. для фиксации в игле-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целью удлинения эффективной, "рабочей" части иглы; встроенный в наружную часть павильона  специальный выступ-стрелка, указывающий направление среза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иглы для четкой тактильной идентификации направления среза иглы относительно хода спинномозгового канала;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стальной, точно совпадающий с внутренним диаметром и срезом иглы;  ручка-наконечник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международной маркировкой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диаметра иглы (ора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нжевый цвет)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цветоконтрастным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 отношению к павильону, индикатором направления среза иглы  для четкой зрительной идентификации направления среза иглы.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гла-бабочка для внутривенного доступа с удлинителем 21G/0.80 мм, 20 мм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21G/0.80 мм - 20 мм, скорость потока не менее 25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гла-бабочка для внутривенного доступа с удлинителем 23G/0.65 мм, 20 мм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Игла-бабочка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удлинителем. Назначение: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кратковременной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Состав: игла стальная со срезом, покрытым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микрослоем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кремния,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фиксирующие крылья, удлинительная трубка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технике «неподвижной иглы», цветовая кодировка, винтовой коннектор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Размер 23G/0.65 мм - 20 м</w:t>
            </w:r>
            <w:r>
              <w:rPr>
                <w:rFonts w:ascii="Times New Roman" w:hAnsi="Times New Roman"/>
                <w:sz w:val="24"/>
                <w:szCs w:val="24"/>
              </w:rPr>
              <w:t>м, скорость потока не менее 11 мл/мин, остаточный объем не более 0.39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атетер аспирационный СН 14 с вакуум-контролем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78. Размер СН 14.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"замороженной" поверхностью. На коннекторе имеется отв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ерстие для пальцевого сброса вакуума. Упакован в стерильный блистер. Срок сохранения стерильности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атетер аспирационный СН 16 с вакуум-контролем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Вакутип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Тонкая трубка длиной до 60 см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прозрачным коннектором. Жесткость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- 78. Размер СН 16. Катетер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открытый дистальный конец с двумя овальными боковыми отверстиями оптимального размера, расположенными друг напротив друга. Коннектор прозрачный, суженный с "заморожен</w:t>
            </w:r>
            <w:r>
              <w:rPr>
                <w:rFonts w:ascii="Times New Roman" w:hAnsi="Times New Roman"/>
                <w:sz w:val="24"/>
                <w:szCs w:val="24"/>
              </w:rPr>
              <w:t>ной" поверхностью. На коннекторе имеется отверстие для пальцевого сброса вакуума. Упакован в стерильный блистер. Срок сохранения стерильности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истема внутривенного доступа с защитой от укола 20G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«катетер на игле»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пункции периферических вен с защитой от укола иглой. Состав: катетер прозрачный, с четырьмя R-контрастными полосками, скругленным кончиком, совпадающим с проксимальным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3-гранным срезом и пальцевым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упором,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овальными вырезами для фиксации при пункции,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– ПУР – полиуретан. Защитная клипса, полностью закрывающая кончик иглы, активируется автоматически при извлечении иглы из катетера, без внешнего воздействия. Размер 20G - 1.1 мм, длина 33 мм, скоро</w:t>
            </w:r>
            <w:r>
              <w:rPr>
                <w:rFonts w:ascii="Times New Roman" w:hAnsi="Times New Roman"/>
                <w:sz w:val="24"/>
                <w:szCs w:val="24"/>
              </w:rPr>
              <w:t>сть потока не менее 61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атетер внутривенный 18G с инъекционным портом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«катетер на игле» для катетеризации периферических вен. Состав: катетер прозрачный,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четырьмя R-контрастными полосками, скругленным кончиком,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совпадающим с проксимальным срезом иглы; павильон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перфорированными крыльями; инъекционный порт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защитной крышкой, расположенный строго над крыльями; игла с трехгранным срезом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пальцевым упором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овальными вырезами для фиксации при пун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кции, ребристой гидрофобной заглушкой на павильоне иглы;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гидрофобной заглушке. Нержавеющая сталь, полипропилен, мембрана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полиэтилен ВД, катетер - полиуретан. Размер 18G - 1.3 мм, длина 33 мм, скорость потока не менее 103 мл/мин.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мужской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14/40 см, материал изготовления – ПВХ. Особое качество обработки поверхности: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 Вблизи пузырного конца катетера - гладкие боковые овальные дренажные отверстия оптимального размера на разном расстоянии от пузырного конца катетера. Упакован в развернутом виде в стери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мужской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мужской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Размер СН 16/40 см,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 изготовления – ПВХ. Особое качество обработки поверхности: "замороженная поверхность". С прочным гладким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слепым концом - с одной стороны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цветомаркированным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коннектором - с другой. Вблизи пузырного конца катетера - гладкие боковые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дренажные отверстия оптимального размера на разном расстоянии от пузырного конца катетера. Упакован в развернутом виде в стерильную упаковку - блистер с легко разъединяющимися со стороны коннектора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лепесками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Срок сохранения стерильности катетера н</w:t>
            </w:r>
            <w:r>
              <w:rPr>
                <w:rFonts w:ascii="Times New Roman" w:hAnsi="Times New Roman"/>
                <w:sz w:val="24"/>
                <w:szCs w:val="24"/>
              </w:rPr>
              <w:t>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 двухходовый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14.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 двухходовый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18.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всем протяжении использования и препятствующий соприкосновению стенок уретры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материалом катетера, имеет атравматический закругленный кончик и 2 овальных отверстия. Баллон не менее 30 мл. Длина катетера 38-40 см. Стерильная упаковка.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"МАКИНТОШ", одноразовый, пластиковый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Макинтош, анатомически изогнутый для упрощения интубации.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возможности замены и без защитного тубуса с боковым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2,5 вольт – 10 000 люкс, при напряжении 2,5 вольт с 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пользованием ЛЕД-рукояти – 16 000 люкс. Материал 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холодной стерилизации. Высота клинка 25 мм. Длина клинка </w:t>
            </w:r>
            <w:r>
              <w:rPr>
                <w:rFonts w:ascii="Times New Roman" w:hAnsi="Times New Roman"/>
                <w:sz w:val="24"/>
                <w:szCs w:val="24"/>
              </w:rPr>
              <w:t>155 мм. Предназначен для одноразового использования. Не стерильный.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линок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ларингоскопический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тип "МИЛЛЕР", одноразовый, пластиковый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Отвечает требованием стандарта DIN EN ISO 7376-3. Тип Миллер, прямой.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возможности замены и без защитного тубуса с боковым рассеиванием светового потока не более 5%. Круглое сечение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фиброоптического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мм. Освещенность на кончике клинка при использовании стандартного источника света при напряжении </w:t>
            </w:r>
            <w:r>
              <w:rPr>
                <w:rFonts w:ascii="Times New Roman" w:hAnsi="Times New Roman"/>
                <w:sz w:val="24"/>
                <w:szCs w:val="24"/>
              </w:rPr>
              <w:t>2,5 вольт – 10 000 люкс, при напряжении 2,5 вольт с использованием ЛЕД-рукояти – 16 000 люкс. Материал изготовления – матовая полированная нержавеющая сталь для предотвращения отражения светового потока, акрил, пластик повышенной прочности. Возможность хол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стерилизации. Высота клинка 13 мм. Длина клинка 195 мм. Предназначен для одноразового использования.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онтур дыхательный конфигурируемый, Y-образный тройник, резервный мешок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Контур дыхательный конфигурируемый 22 мм для аппарата ИВЛ с </w:t>
            </w:r>
            <w:r>
              <w:rPr>
                <w:rFonts w:ascii="Times New Roman" w:hAnsi="Times New Roman"/>
                <w:sz w:val="24"/>
                <w:szCs w:val="24"/>
              </w:rPr>
              <w:t>резервным мешком объёмом 2 литра и дополнительной трубкой 100 см. Изготовлен из биологически инертного прозрачного ПВХ, два гофрированных шланга внутренним диаметром 22 мм и длиной 160 см. Комплект коннекторов 22 мм для подключения к аппарату ИВЛ. У-образн</w:t>
            </w:r>
            <w:r>
              <w:rPr>
                <w:rFonts w:ascii="Times New Roman" w:hAnsi="Times New Roman"/>
                <w:sz w:val="24"/>
                <w:szCs w:val="24"/>
              </w:rPr>
              <w:t>ый тройник с портом забора газа для соединения с трубкой пациента. Прозрачный угловой коннектор 15/22 мм. Резервный мешок с горловиной 22 мм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 и коническим внутренним сгоном без содержания латекса. Однократного применения, стерильный.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ран 3-ходовой, 360°, синий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Кран из прозрачного, химически-устойчивого поликарбоната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0), 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образный корпус с прямоточными каналами, коннекторы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регулятор потоков 3600 синий (вена),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щелчковым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фиксатором поворота, шаг 450. </w:t>
            </w:r>
            <w:r>
              <w:rPr>
                <w:rFonts w:ascii="Times New Roman" w:hAnsi="Times New Roman"/>
                <w:sz w:val="24"/>
                <w:szCs w:val="24"/>
              </w:rPr>
              <w:t>Устойчивость к давлению до 4 бар. Встроенный адаптер свободного вращения, защищающий систему от разгерметизации и инфицирования.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эсмарха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 с наконечником на дистальном конце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удлинённой трубки, горловина мешка с крышкой и запорным механизмом, с уплотнительным кольцом для подвешивания, диаметр трубки СН 20, длина - 1,5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1,5 л с градуировкой деления на мешке. Стерильная.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аска анестезиологическая, средняя взрослая р.4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Анестезиологическая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лицевая маска дыхательного контура для взрослых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  одноразовая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Описание: Анестезиологическая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маска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для дыхательного контура,  масочного наркоза,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т.ч.с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системами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для ручного искусственного дыхания)  анатомической ф</w:t>
            </w:r>
            <w:r>
              <w:rPr>
                <w:rFonts w:ascii="Times New Roman" w:hAnsi="Times New Roman"/>
                <w:sz w:val="24"/>
                <w:szCs w:val="24"/>
              </w:rPr>
              <w:t>ормы с манжетой предварительного надува,  с крепежным кольцом с четырьмя фиксаторами и с кодировкой зеленого цвета, с системой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без клапана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поддува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Корпус маски полностью прозрачный. Манжета маски обеспечивает герметичное прилегание к лицу пациен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та. Коннектор 22F. Размер 4. Материал: полипропилен, полиэтилен.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содержит  латекса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(указано производителем на упаковке), в индивидуальной упаковке, клинически чисто, однократного применения. Срок годности: не менее 5 лет от даты производства.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аска кислородная для взрослых с носовым зажимом и кислородной трубкой 2,1 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Кислородная маска для оксигенотерапии средней концентрации, продолговатая, взрослая. Изготовлена из мягкого винила для комфорта пациента,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прозрачность обеспечивает </w:t>
            </w:r>
            <w:r>
              <w:rPr>
                <w:rFonts w:ascii="Times New Roman" w:hAnsi="Times New Roman"/>
                <w:sz w:val="24"/>
                <w:szCs w:val="24"/>
              </w:rPr>
              <w:t>визуальный контроль. В комплекте с кислородной трубкой 210 см. Индивидуально упакована.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с четырьмя клипсами крепления к маске для легкости снятия маски и с системой регулирования по длине под размер головы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материалы изготовлены из пенистого полиуретана и нейлона. Анатомическая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Непреднамеренная утечка при рабочем давлении: 20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</w:t>
            </w:r>
            <w:r>
              <w:rPr>
                <w:rFonts w:ascii="Times New Roman" w:hAnsi="Times New Roman"/>
                <w:sz w:val="24"/>
                <w:szCs w:val="24"/>
              </w:rPr>
              <w:t>поразмер маски -  L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150 мм, ширина 107 мм, профиль 120 мм,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мертвого пространства — 169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 структурным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22 мм,  выполнен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крепления к маске для легкости снятия маски  и  с 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изготовлены из пенистого полиуретана и нейлона. Анатомическая форма маски повторяет контур лица пациента за счет мяг</w:t>
            </w:r>
            <w:r>
              <w:rPr>
                <w:rFonts w:ascii="Times New Roman" w:hAnsi="Times New Roman"/>
                <w:sz w:val="24"/>
                <w:szCs w:val="24"/>
              </w:rPr>
              <w:t>кого пластичного материала из силикона и дополнительных внутренних силиконовых губок для предотвращения утечки в контуре. Рабочее давление: 0-40 см Н20,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Непреднамеренная утечка при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давлении: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M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Medium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высота 140 мм, ширина 105 мм, профиль 113 мм. Объем мертвого пространства — 151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</w:t>
            </w:r>
            <w:r>
              <w:rPr>
                <w:rFonts w:ascii="Times New Roman" w:hAnsi="Times New Roman"/>
                <w:sz w:val="24"/>
                <w:szCs w:val="24"/>
              </w:rPr>
              <w:t>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7500 V2TM c наголовником,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многоразовая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неинвазивной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легких, невентилируемая, без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антиасфиксического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клапана, c наголовником.  Лицевая часть маски выполнена из 100% силикона с структурными скобками из термопластичного поликарбоната. Изогнутый под 90 градусов сменный адаптер с портом для измерения параметров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вентиляции,  ID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 мм,  выпо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лнен из поликарбоната зеленого цвета, угол свободного вращения 360 градусов. Наголовник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 четырьмя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клипсами крепления к маске для легкости снятия маски  и 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системой регулирования по длине  под размер головы на пяти застежках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Velcro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материалы изготовлен</w:t>
            </w:r>
            <w:r>
              <w:rPr>
                <w:rFonts w:ascii="Times New Roman" w:hAnsi="Times New Roman"/>
                <w:sz w:val="24"/>
                <w:szCs w:val="24"/>
              </w:rPr>
              <w:t>ы из пенистого полиуретана и нейлона. Анатомическая форма маски повторяет контур лица пациента за счет мягкого пластичного материала из силикона и дополнительных внутренних силиконовых губок для предотвращения утечки в контуре. Рабочее давление: 0-40 см Н2</w:t>
            </w:r>
            <w:r>
              <w:rPr>
                <w:rFonts w:ascii="Times New Roman" w:hAnsi="Times New Roman"/>
                <w:sz w:val="24"/>
                <w:szCs w:val="24"/>
              </w:rPr>
              <w:t>0, Сопротивление потоку: 0,3 см Н2О при 50L/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0,7 см Н2О при 100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Непреднамеренная утечка при рабочем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давлении:  20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см Н2О — 4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30 см Н2О — 5 L/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Рабочая температура 5-40С, Влажность 0-95% Типоразмер маски -  S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высота 132 мм,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ирина 103 мм, профиль 109 мм, Объем мертвого пространства — 125 мл, Вес — 123,74 г. Многоразовая,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менее 25 циклов стерилизации.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очеприемник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пластмассовый мужской тип "Утка", многоразовый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Мочеприемник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полимерный </w:t>
            </w:r>
            <w:r>
              <w:rPr>
                <w:rFonts w:ascii="Times New Roman" w:hAnsi="Times New Roman"/>
                <w:sz w:val="24"/>
                <w:szCs w:val="24"/>
              </w:rPr>
              <w:t>предназначен для применения в медицинской практике при уходе за больными в отделениях интенсивной терапии, реанимационных и общих палатах в условиях лечебных учреждений. Наружные и внутренние поверхности мочеприемника и насадки устойчивы к дезинфекции по М</w:t>
            </w:r>
            <w:r>
              <w:rPr>
                <w:rFonts w:ascii="Times New Roman" w:hAnsi="Times New Roman"/>
                <w:sz w:val="24"/>
                <w:szCs w:val="24"/>
              </w:rPr>
              <w:t>У-287-113-3% раствором хлорамина ТУ 6-01-4689387-16-89.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очеприемник прикроватный 2 л, одноразовый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Мочеприемник прикроватный в наборе, мешок 2 л, трубка 90 см, одноразовый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абор с двухканальным ЦВК 7Fr/16G-16G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катетеризации центральных вен с двуканальным катетером. Назначение: катетеризация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контрастный полиуретан. Состав набора: двухканальный катетер с несмыв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аемой 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каналов и зажимами. Наружный диаметр катетера 7F (2,4 мм), длина катетера 19±1 см, каналы дистальный 16G (скорость потока не менее 45 мл/мин), проксимальный 16G (скорост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потока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40 мл/мин). Пункционная игла тонкостенная, с овальным срезом 1,3 х 70 мм, профилированный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 с маркировкой по длине, с J-образным кончиком,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Неподвижные крылья с отверстиями, прозрачные удлинительные линии с коннекторами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Передвигаемые и фиксируемые крылышки с 2-мя отверстиями для фиксации лигатурой.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 с </w:t>
            </w:r>
            <w:r>
              <w:rPr>
                <w:rFonts w:ascii="Times New Roman" w:hAnsi="Times New Roman"/>
                <w:sz w:val="24"/>
                <w:szCs w:val="24"/>
              </w:rPr>
              <w:t>одноканальным ЦВК 14G/20 см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катетеризации центральных вен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Сельдингеру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измерения ЦВД с одноканальным катетером. Материал катетера: термолабильный,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антитромбогенный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контрастный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полиуретан..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Одноканальный катетер с несмываемой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разметкой в см, мягким скругленным кончиком и соединителем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маркировкой канала и зажимом. Наружный диаметр катетера 14G/2,1 мм, длина катетера 20 см. Канал 1,4 мм, скорость 90 мл/мин. Пункционная игла тонкостенная, с овальным срезом; профилированн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ый прозрачный павильон,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Дилататор пластиковый, цельнолитой. Проводник металлический гибкий, маркированный, с J-образным кончиком, в круглом футляре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направителем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пальцевым упором. Передвигаемые и фиксируемые крылышки с 2-мя отверстиями для фик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сации лигатурой. Заглушка с эластичной инъекционной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вставкой.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ебулайзер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мл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Оптимальный размер частиц (2-5 мкм). Порт для аэрозольной маски или загубника. Съемная крышка с защитой от протекания препарата. Стерильный. Одноразовый. 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 из прозрачного полипропилена.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питания гравитационная, 1000 мл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Коннектор адаптирован к любому размеру питательного зонда; трубка устойчива к слипанию при обратных перегибах; стенки мешка и трубки прозрачные; мешок для питательной смеси снабжен боковой </w:t>
            </w:r>
            <w:r>
              <w:rPr>
                <w:rFonts w:ascii="Times New Roman" w:hAnsi="Times New Roman"/>
                <w:sz w:val="24"/>
                <w:szCs w:val="24"/>
              </w:rPr>
              <w:t>градуировкой; наличие специального кольца для фиксации мешка на стандартной стойке; наличие зажима для максимально точного дозирования скорости введения питательной смеси и камера для визуального контроля; Горловина мешка имеет герметичную крышку для исклю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чения дополнительное инфицирование питательной смеси из окружающей среды; Упаковка стерильная,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 предназначена для однократного применения; материал изготовления - прозрачный ПВХ. Система может содержать латекс; Объем мешка — 1000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закрытая аспирационная СН 16, длина 55 см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 закрытая аспирационная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система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санации трахеобронхиального дерева, размер СН 16, длина 55 см. Применяется до 48 часов у одного пациента.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Cостоит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метрического аспир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ационного катетера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Мюлли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помещенного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тонкий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полупрозрачный защитный полиэтиленовый рукав.  Катетер градуирован, шаг градуировки - 1 см. Доступ аспирационного катетера в промывочную камеру регулируется специальной ручкой, показывающей положение кла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пана промывочной камеры: открыто/закрыто. На одном уровне с ручкой в перпендикулярной плоскости располагается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прозрачный крупный промывочный порт, заканчивающийся коннектором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прикрепленной крышкой-обтуратором и невозвратным фильтром. Система рассчи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тана на применение любого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дез.раствора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На проксимальном конце системы - прозрачный Т-образный узел для соединения с дыхательным контуром и эндотрахеальной трубкой. Дистальный конец - центр управления вакуумной аспирацией. Помимо аспирационной, система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дусматривает еще две функции: очистка катетера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лаваж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трахео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-бронхиального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дерева. Блок управления вакуумом снабжен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пятимикронным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антибактериальным гидрофобным фильтром.  Срок сохранения стерильности системы с момента стерилизации не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прямой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Соединитель к контуру дыхательному,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прямой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конфигурируемый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22M/15F-22 F  Соединитель прямой конфигурируемый 22M/15F-22 F.  Длина от 90 до 150 мм. Мертвое пространство </w:t>
            </w:r>
            <w:r>
              <w:rPr>
                <w:rFonts w:ascii="Times New Roman" w:hAnsi="Times New Roman"/>
                <w:sz w:val="24"/>
                <w:szCs w:val="24"/>
              </w:rPr>
              <w:t>16-25 мл соответственно. Индивидуальная упаковка.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удно полимерное подкладное, многоразовое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Судно подкладное полимерное представляет собой цельнолитую пластмассовую конструкцию. Изготавливается из полипропилена белого цвета. Судно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устойчиво к воздействию агрессивных биологических жидкостей организма человека: мочи и пота. Объем вмещающейся жидкости 2,5 литра. Масса судна - не более 0,5 кг. Срок службы судна подкладного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полимерного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3-х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трахеостомическая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изготовлена из термопластичного ПВХ. Анатомическая форма под углом 95 градусов. Манжета низкого давления с голубым пилот-баллоном,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Фланец крепления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фиксир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ованный, мягкий, прозрачный с двумя дополнительными окошками для профилактики пролежней, с маркировкой внутреннего и внешнего размеров трубки и диаметра манжетки.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полоса по всей длине трубки, вращающийся коннектор 15 мм, наличие обтурат</w:t>
            </w:r>
            <w:r>
              <w:rPr>
                <w:rFonts w:ascii="Times New Roman" w:hAnsi="Times New Roman"/>
                <w:sz w:val="24"/>
                <w:szCs w:val="24"/>
              </w:rPr>
              <w:t>ора трубки и ленты фиксации. Возможность установки внутренней мягкой гибкой рифленой канюли одноразового использования. Внутренний диаметр 8.0 мм, внешний диаметр 11.3 мм. Длина – 81 мм. Диаметр манжетки – 28 мм. Не содержит латекс. Стерильная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t>ая жёсткая упаковка.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7,0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коннектор. Наполовину вставленный кон</w:t>
            </w:r>
            <w:r>
              <w:rPr>
                <w:rFonts w:ascii="Times New Roman" w:hAnsi="Times New Roman"/>
                <w:sz w:val="24"/>
                <w:szCs w:val="24"/>
              </w:rPr>
              <w:t>нектор. Внутренний диаметр 7.0 мм, внешний диаметр 9.3 мм, диаметр манжеты 24,0 мм, длина трубки без коннектора - 315±5 мм. Стерильная индивидуальная упаковка.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7,5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-маркер по всей длине трубки, черный индикатор интубации по всей окружнос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наполовину вставленный коннектор.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Наполовину вставленный коннектор. Внутренний диаметр 7.5 мм, внешний диаметр 10.0 мм, диаметр манжеты 26 мм, длина трубки без коннектора </w:t>
            </w:r>
            <w:r>
              <w:rPr>
                <w:rFonts w:ascii="Times New Roman" w:hAnsi="Times New Roman"/>
                <w:sz w:val="24"/>
                <w:szCs w:val="24"/>
              </w:rPr>
              <w:t>- 335±5 мм. Стерильная индивидуальная упаковка.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манжетой, размер 8,0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трубка из термопластичного ПВХ для назальной и оральной интубации,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силиконизирована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содержит латекса. Манжетка низкого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давления, голубой пилот-баллон, клапан для шприцев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-маркер по всей длине трубки, черный индикатор интубации по всей окружности трубки, разметка c шагом 1 см, закругленный атравматический наконечник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Mерфи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наполовину вставленный конне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ктор. Наполовину вставленный коннектор. Внутренний диаметр 8.0 мм, внешний диаметр 10.7 мм, диаметр манжеты 26 мм, длина трубки без коннектора - 335±5 мм. Стерильная индивидуальная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упаковка.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влажнитель пузырьковый с емкостью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Увлажнитель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кислорода пузырьковый,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транспарентный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объем 350 мл. Используется для увлажнения кислорода в клинических условиях. Тонкодисперсный распылитель производит большое количество газовых пузырьков малого объема на конце впускной трубки. Таким образом, увеличивае</w:t>
            </w:r>
            <w:r>
              <w:rPr>
                <w:rFonts w:ascii="Times New Roman" w:hAnsi="Times New Roman"/>
                <w:sz w:val="24"/>
                <w:szCs w:val="24"/>
              </w:rPr>
              <w:t>тся общая поверхность испарения, и повышается влажность проходящего газа. В то же время, маленькие пузырьки создают меньше шума в отличие от больших, что обеспечивает пациенту комфортную атмосферу. Имеется маркировка минимального и максимального уровня зап</w:t>
            </w:r>
            <w:r>
              <w:rPr>
                <w:rFonts w:ascii="Times New Roman" w:hAnsi="Times New Roman"/>
                <w:sz w:val="24"/>
                <w:szCs w:val="24"/>
              </w:rPr>
              <w:t>олнения увлажнителя. Коннектор UNF 9/16”.  Однократного применения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инфузионных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насосов, диаметр 2.7 мм, длина 150 см, ПВХ, стандарт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удлинительная высокого давления для шприцевых насосов, прозрачная,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соединители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Используемые материалы: поливинилхлорид. Длина линии 150 см. Диаметр наружный 2,7 мм/внутренний 1,5 мм. Объем заполнения 2,6 мл.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Соединения: Проксимальное: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Дистальное: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Стерильно, для однократного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полный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закрытого плеврального и грудного дренажа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Матису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Тонкостенная пункционная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игла, 3.35 х 78 мм; катетер из полиуретана,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защитным чехлом, 2.7 х 450 мм; двойной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антирефлюксный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клапан; пакет для сбора жидкости 2,0 л; шприц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60 мл; трехходовой кран с удлинителем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абор для пункции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плевральной полости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пункции плевральной полости. Пункция плевральной полости с целью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удаления различных жидкостей, воздуха при пневмотораксе, или для введения медикаментов. Тонкостенная пункционная игла с коротким срезом 1,8 х 80 мм; удлинитель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соединением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шприц трехкомпонентный 60 мл,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трехходовой кран; пакет для сбора жидкости 2л с соединительной трубкой.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ильтр дыхательный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– электростатический,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влагоотдачи пациенту не менее 30 мг.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 мл, потери влаги не более 7мг Н2О/л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1000мл, мертвое пространство фильтра не более 35 мл, сопротивлением не более 1,8 см Н2О при 60 л/мин, для дыхательного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ъема 150-1000 мл. Вес фильтра не более 31 грамма. Коннекторы 15M/22F-22M/15F. Фильтрующая мембрана гидрофобная, электростатическая гофрированная,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площадью не менее 19.5 см2.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Тепловлагосберегающий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 спиралевидный, площадью не менее 1400 см2. Время эфф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ективной фильтрации не менее 24 часа.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Стерильная  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ильтр дыхательный гидрофобный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СО2-портом, прямой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Бактериальновирусный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фильтр - электростатический, двухстороннего действия,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фильтрирующая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мембрана площадью не менее 19,25 см2, с эффективностью фильтрации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 &gt;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99,99%, вирусов &gt; 99,99%, мертвым пространством фильтра не более 26 мл, сопротивлением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более 1,6 см Н2О при 60л/мин, для дыхательного объема 150-1000 мл. Время эффективной фильтрации не менее 24 часа. Вес не более 22 грамм. Коннекторы 15M/22F-22M/15F. Прозрачный корпус, наличие дополнительного порта для измерения СО2.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Стерильная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упаковка.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ильтр-канюля 0.45 µм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Двухканальная закрытая фильтр-система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безыгольного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многократного забора жидких медикаментов с поддержкой стерильности. Состав: двухканальный наконечник для прокола пробки флакона; защитная пластина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фильтром; соединитель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защитная крышка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Снэп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Фильтр воздушного канала - диаметр пор 0.45 микрон.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приц Жане одноразовый 150 мл стерильный (без винтовой нарезки)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Шприцы предназначены для отсасывания различных жидкостей 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организма и промывания внутренних полостей. Шприцы по техническим характеристикам соответствуют всем требованиям. Шприцы состоят из - цилиндра, штока и поршня. На внешней стороне цилиндра нанесена шкала градуировки объема 150 мл и имеет расширенную градуи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ровку до 160 мл. Нижняя часть цилиндра снабжена присоединительным конусом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катетерной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насадки. На внутренней поверхности цилиндра, в верхней части, цилиндра имеется стопорное кольцо, препятствующее случайному выпадению штока из цилиндра. Уплотнитель пор</w:t>
            </w:r>
            <w:r>
              <w:rPr>
                <w:rFonts w:ascii="Times New Roman" w:hAnsi="Times New Roman"/>
                <w:sz w:val="24"/>
                <w:szCs w:val="24"/>
              </w:rPr>
              <w:t>шня выполнен из специальной резины и имеет два кольца контакта с внутренней поверхностью цилиндра, что исключает протекание и обеспечивает плавное скольжение поршня внутри цилиндра. Детали шприцев изготовлены из следующих материалов: цилиндр - из полипропи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лена, шток - из полиэтилена низкого давления, поршень из специальной резины. На цилиндре имеется маркировка - изделие не содержит латекса. Индивидуальная потребительская упаковка герметично заварена. Шприцы стерильны,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нетоксичны. Стерилизация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прицев газовая - оксидом этилена. Средний срок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годности шприцев не менее 5 лет.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приц трехкомпонентный объемом 50 мл для шприцевых дозаторов с иглой и фильтром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Шприц трехкомпонентный для шприцевых насосов 50 мл, с винтовой насадкой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аспирационная игла 14G, длина 30 мм; фильтр тонкой очистки 15 мкм; легко скользящая накладка поршня с двумя уплотнительными кольцами; нестираемая четкая градуировка на поршне шприца; минимальное расстояние между упорными планками цилиндра и плунжера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мм; разъем для фиксации в шприцевом насосе под упорной планкой плунжера. Резистентность к давлению в системе не ниже 4 бар (2944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ммHg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). Положение канюли - центральное. 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Люэр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6%, наружная резьба. Должен быть совместим со шприцевыми дозаторам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Перфузор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Pr="00BD50C6" w:rsidRDefault="00163B49" w:rsidP="00BD50C6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/>
                <w:sz w:val="24"/>
                <w:szCs w:val="24"/>
              </w:rPr>
              <w:t>лектрод для ЭКГ, диаметр 50 мм, одноразовый</w:t>
            </w:r>
          </w:p>
        </w:tc>
        <w:tc>
          <w:tcPr>
            <w:tcW w:w="21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50±2 мм в диаметре. Площадь соприкосновения электрода на коже 48±0,5 мм. Фиксирующая площадь электрода 1960-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1970 мм2. Площадь геля 280-290 мм2. Площадь сенсора 75-79 мм2.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Встречный импеданс 110 Ом. Фоновая разность потенциалов электродов 5,3 мВ. Восстановление электропроводных свойств электрода менее 3,9 мВ. Устойчивость при длительном пропускании малых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токов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,1 мВ. Эффективность снятия сигнала при внутренних паразитарны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шумах до 23 мВ. Сверхсильная клеевая основа – двухцветная полиэтиленовая пена медицинского назначения с изображениями логотипа компании.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Отшелушивающая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терка. Проницаемость основы для воздуха – воздухонепроницаемая. Коннектор – графитовый,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рентгенонегати</w:t>
            </w:r>
            <w:r>
              <w:rPr>
                <w:rFonts w:ascii="Times New Roman" w:hAnsi="Times New Roman"/>
                <w:sz w:val="24"/>
                <w:szCs w:val="24"/>
              </w:rPr>
              <w:t>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Датчик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Электропроводный слой - влажный гель. Поднимающийся козырек электрода. Эффективное время функционирования не менее 24 часов.</w:t>
            </w:r>
          </w:p>
        </w:tc>
        <w:tc>
          <w:tcPr>
            <w:tcW w:w="56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BD5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79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63B49" w:rsidRDefault="00163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163B49" w:rsidRDefault="00BD5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Срок поставки: с момента заключения контракта в течение 14 календарных дней.</w:t>
            </w: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163B49" w:rsidRDefault="00BD50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163B49" w:rsidRDefault="00BD50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163B49" w:rsidRDefault="00BD5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12.07.2021 17:00:00 по местному времени. </w:t>
            </w: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163B49" w:rsidRDefault="00BD5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481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05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2185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568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22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794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509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266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  <w:tc>
          <w:tcPr>
            <w:tcW w:w="1410" w:type="dxa"/>
            <w:shd w:val="clear" w:color="FFFFFF" w:fill="auto"/>
            <w:vAlign w:val="bottom"/>
          </w:tcPr>
          <w:p w:rsidR="00163B49" w:rsidRDefault="00163B49">
            <w:pPr>
              <w:rPr>
                <w:szCs w:val="16"/>
              </w:rPr>
            </w:pP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163B49" w:rsidRDefault="00BD5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63B49" w:rsidTr="00BD50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163B49" w:rsidRDefault="00BD50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BD50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B206F"/>
    <w:multiLevelType w:val="hybridMultilevel"/>
    <w:tmpl w:val="E8A0F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F7AA4"/>
    <w:multiLevelType w:val="hybridMultilevel"/>
    <w:tmpl w:val="6EDA1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63B49"/>
    <w:rsid w:val="00163B49"/>
    <w:rsid w:val="00BD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D51A7-822D-48C0-94B4-65876CA0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D5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5344</Words>
  <Characters>30465</Characters>
  <Application>Microsoft Office Word</Application>
  <DocSecurity>0</DocSecurity>
  <Lines>253</Lines>
  <Paragraphs>71</Paragraphs>
  <ScaleCrop>false</ScaleCrop>
  <Company/>
  <LinksUpToDate>false</LinksUpToDate>
  <CharactersWithSpaces>35738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2021-07-07T06:26:00Z</dcterms:created>
  <dcterms:modified xsi:type="dcterms:W3CDTF">2021-07-07T06:30:00Z</dcterms:modified>
</cp:coreProperties>
</file>