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75"/>
        <w:gridCol w:w="1620"/>
        <w:gridCol w:w="2286"/>
        <w:gridCol w:w="586"/>
        <w:gridCol w:w="632"/>
        <w:gridCol w:w="823"/>
        <w:gridCol w:w="1575"/>
        <w:gridCol w:w="1320"/>
        <w:gridCol w:w="1472"/>
      </w:tblGrid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shd w:val="clear" w:color="FFFFFF" w:fill="auto"/>
            <w:vAlign w:val="bottom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A031F8" w:rsidRDefault="00FD6C57" w:rsidP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№.910-2021</w:t>
            </w:r>
            <w:bookmarkStart w:id="0" w:name="_GoBack"/>
            <w:bookmarkEnd w:id="0"/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81" w:type="dxa"/>
            <w:gridSpan w:val="3"/>
            <w:shd w:val="clear" w:color="FFFFFF" w:fill="auto"/>
            <w:vAlign w:val="bottom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A031F8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197" w:type="dxa"/>
            <w:gridSpan w:val="7"/>
            <w:shd w:val="clear" w:color="FFFFFF" w:fill="auto"/>
            <w:vAlign w:val="bottom"/>
          </w:tcPr>
          <w:p w:rsidR="00A031F8" w:rsidRDefault="00FD6C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A031F8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A031F8" w:rsidRDefault="00FD6C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1F8" w:rsidRDefault="00FD6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1F8" w:rsidRDefault="00FD6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1F8" w:rsidRDefault="00FD6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1F8" w:rsidRDefault="00FD6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1F8" w:rsidRDefault="00FD6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1F8" w:rsidRDefault="00FD6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1F8" w:rsidRDefault="00FD6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1F8" w:rsidRDefault="00FD6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1F8" w:rsidRDefault="00FD6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E5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антимикробный (с мирамистином) трехлепестковый для фиксации катетеров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трехлепестковый с мирамистином - это антимикробный, </w:t>
            </w:r>
            <w:r>
              <w:rPr>
                <w:rFonts w:ascii="Times New Roman" w:hAnsi="Times New Roman"/>
                <w:sz w:val="24"/>
                <w:szCs w:val="24"/>
              </w:rPr>
              <w:t>стерильный лейкопластырь для длительной фиксации подключичных катетеров, внутривенных периферических катетеров, зондов, трубок и канюль. Лейкопластырь прямоугольной формы с закругленными краями с U-образным вырезом для порта катетера, с сорбирующей неприли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пающей подушечкой из 100% вискозы, пропитанной мирамистином. Из-за перфорированного нетканого материала, и липкого слоя, который нанесен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дискретно в виде волнистых полос, пластырь обладает высокой газопроницаемостью. Гипоаллергенный липкий слой хорошо прик</w:t>
            </w:r>
            <w:r>
              <w:rPr>
                <w:rFonts w:ascii="Times New Roman" w:hAnsi="Times New Roman"/>
                <w:sz w:val="24"/>
                <w:szCs w:val="24"/>
              </w:rPr>
              <w:t>леивается и легко отходит, не оставляя следов на коже. Конструкция пластыря позволяет надежно закрепить катетер, намотав средний лепесток по спирали вокруг него. Размер 5 х 7 см. Пластыри упакованы поштучно в герметичный пакет из ламинированной бумаги, кот</w:t>
            </w:r>
            <w:r>
              <w:rPr>
                <w:rFonts w:ascii="Times New Roman" w:hAnsi="Times New Roman"/>
                <w:sz w:val="24"/>
                <w:szCs w:val="24"/>
              </w:rPr>
              <w:t>орый легко вскрывается. Лейкопластыри простерилизованны радиационным способом.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E5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антимикробный (с мирамистином) трехлепестковый для фиксации катетеров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 прямоугольной формы с закругленными краями трехлепестковый с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дополнительной полоской (средний лепесток шириной 10 мм) для закрепления катетера. Состоит из фиксирующей части в виде перфорированного нетканого материала плотностью 50 г/м кв. с бесцветным липким слоем на основе синтетических связующих, нанесенным дискре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 в виде волнистых полос,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сорбирующей подушечки, пропитанной мирамистином, из нетканого иглопробивного материала из 100% вискозы, плотностью 120 г/м кв. с атравматичным слоем из полиэтиленовой сеточки и защитным слоем из антиадгезионной бумаги. Сорбционн</w:t>
            </w:r>
            <w:r>
              <w:rPr>
                <w:rFonts w:ascii="Times New Roman" w:hAnsi="Times New Roman"/>
                <w:sz w:val="24"/>
                <w:szCs w:val="24"/>
              </w:rPr>
              <w:t>ая способность впитывающей подушечки 7 г/г. Предназначен для длительной фиксации катетеров (в т.ч. подключичного), канюль, зондов, трубок. Размер 9х12 см. Каждый лейкопластырь упакован в герметичный пакет из ламинированной бумаги с эффектом легкого вскрыти</w:t>
            </w:r>
            <w:r>
              <w:rPr>
                <w:rFonts w:ascii="Times New Roman" w:hAnsi="Times New Roman"/>
                <w:sz w:val="24"/>
                <w:szCs w:val="24"/>
              </w:rPr>
              <w:t>я. Лейкопластыри в индивидуальной упаковке скомплектованы в групповую упаковку по 50 шт. Простерилизованы радиационным способом.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E5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см, гипоаллергенный.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E5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шелковой основе 2 х 500 см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рулонный на катушке адгезивный, на шелковой основе для улучшенной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фиксации повязок и медицинских устройств, с нанесением акрилатного клея для обеспечения гипоаллергенности, с </w:t>
            </w:r>
            <w:r>
              <w:rPr>
                <w:rFonts w:ascii="Times New Roman" w:hAnsi="Times New Roman"/>
                <w:sz w:val="24"/>
                <w:szCs w:val="24"/>
              </w:rPr>
              <w:t>зигзагообразным краем для легкого разрыва в поперечном направлении.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E5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л, одноразовый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Cистема для уроколлекции, изготовленная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режиме "чистых помещений". Состоит из сборного мешка объемом не менее 2000 мл с неперекручивающейся приводной трубкой. Изделие изготовлено из ПВХ. Сборный мешок прямоугольной формы, передняя прозрачная и задняя непрозрачная белая поверхности соединены м</w:t>
            </w:r>
            <w:r>
              <w:rPr>
                <w:rFonts w:ascii="Times New Roman" w:hAnsi="Times New Roman"/>
                <w:sz w:val="24"/>
                <w:szCs w:val="24"/>
              </w:rPr>
              <w:t>ежду собой посредством спайки. Передняя стенка сборного мешка градуирована. Шаг градуировки - 100 мл. В верхней части сборного мешка - 2 укрепленных армированных отверстия для удобной фиксации изделия на раме кровати. Мешок снабжен невозвратным клапаном 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песткового типа в верхней его части, что препятствует ретроградному току мочи. Приводная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трубка длиной не менее 90 см и не более 110 см, имеет универсальный коннектор с защитным колпачком для предотвращения контаминации. Крестообразный кран слива расположе</w:t>
            </w:r>
            <w:r>
              <w:rPr>
                <w:rFonts w:ascii="Times New Roman" w:hAnsi="Times New Roman"/>
                <w:sz w:val="24"/>
                <w:szCs w:val="24"/>
              </w:rPr>
              <w:t>н по центру нижнего края сборного мешка. Рекомендованное время использования у 1 пациента - до 24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E5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для фиксации центр. венозных катетеров централ гард 10,1х8,4см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Стерильная защитная фиксирующая повязка для фиксации и защиты катетера, введенного в подключичную вену. Устанавливаются на срок до 5 дней. Размеры 10,1х8,4см. Снабжена ограничивающей фиксирующей рамкой из вспененного полиэтилена, которая не только обеспечи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вает надежную фиксацию катетера, но и предотвращает попадание различных видов секрета и микроорганизмов под повязку. Имеет прозрачную центральную часть ("окно") из полупроницаемого прозрачного полиуретана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визуального контроля места введения закрепленно</w:t>
            </w:r>
            <w:r>
              <w:rPr>
                <w:rFonts w:ascii="Times New Roman" w:hAnsi="Times New Roman"/>
                <w:sz w:val="24"/>
                <w:szCs w:val="24"/>
              </w:rPr>
              <w:t>го изделия и его положения. Три дополнительные фиксирующие  полоски - полиэтилен на пенной основе. Проницаемость - 3112г/м²/24ч/37°С. Защитное покрытие - силиконизированный полиэстер. Не содержит латекс. Упаковка: крафт-бумага, покрытая лаком. Срок хранени</w:t>
            </w:r>
            <w:r>
              <w:rPr>
                <w:rFonts w:ascii="Times New Roman" w:hAnsi="Times New Roman"/>
                <w:sz w:val="24"/>
                <w:szCs w:val="24"/>
              </w:rPr>
              <w:t>я 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E5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к контуру дыхательному, угловой конфигурируемый, двойной шарнир, двойная заглушка 22M/15F-22 F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угловой конфигурируемый, двойной шарнир, двойная заглушка 22M/15F-22 F. Заглушка 9 мм </w:t>
            </w:r>
            <w:r>
              <w:rPr>
                <w:rFonts w:ascii="Times New Roman" w:hAnsi="Times New Roman"/>
                <w:sz w:val="24"/>
                <w:szCs w:val="24"/>
              </w:rPr>
              <w:t>для оптической бронхоскопии и порт 3.5мм для санации. Вес  - 20 грамм. Длина от 140 до 200 мм. Мертвое пространство 23-39 мл соответственно. Стерильная индивидуальная упаковка.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E54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дыхательный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Бактериальновирусный фильтр – электростатический, с эффективностью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фильтрации бактерий &gt; 99,99%, вирусов &gt; 99,99%, влагоотдачи пациенту не менее 30 мг. Н2О/л при Vt 1000 мл, потери влаги не более 7мг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Н2О/л при Vt 1000мл, мертвое пространство фильтра не более 35 мл, сопротивлением не более 1,8 см Н2О при 60 л/мин, для дыха</w:t>
            </w:r>
            <w:r>
              <w:rPr>
                <w:rFonts w:ascii="Times New Roman" w:hAnsi="Times New Roman"/>
                <w:sz w:val="24"/>
                <w:szCs w:val="24"/>
              </w:rPr>
              <w:t>тельного объема 150-1000 мл. Вес фильтра не более 31 грамма. Коннекторы 15M/22F-22M/15F. Фильтрующая мембрана гидрофобная, электростатическая гофрированная, площадью не менее 19.5 см2. Тепловлагосберегающий элемент спиралевидный, площадью не менее 1400 см2</w:t>
            </w:r>
            <w:r>
              <w:rPr>
                <w:rFonts w:ascii="Times New Roman" w:hAnsi="Times New Roman"/>
                <w:sz w:val="24"/>
                <w:szCs w:val="24"/>
              </w:rPr>
              <w:t>. Время эффективной фильтрации не менее 24 часа. Прозрачный корпус, наличие дополнительного порта для измерения СО2. Стерильная 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FD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1F8" w:rsidRDefault="00A03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75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6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A031F8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A031F8" w:rsidRDefault="00FD6C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75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6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A031F8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A031F8" w:rsidRDefault="00FD6C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A031F8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A031F8" w:rsidRDefault="00FD6C57" w:rsidP="00FD6C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75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6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A031F8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A031F8" w:rsidRDefault="00FD6C57" w:rsidP="00E54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54EF3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54EF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6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A031F8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A031F8" w:rsidRDefault="00FD6C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6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6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E54EF3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5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6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823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320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A031F8" w:rsidRDefault="00A031F8">
            <w:pPr>
              <w:rPr>
                <w:szCs w:val="16"/>
              </w:rPr>
            </w:pPr>
          </w:p>
        </w:tc>
      </w:tr>
      <w:tr w:rsidR="00A031F8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A031F8" w:rsidRDefault="00FD6C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A031F8" w:rsidTr="00E54EF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A031F8" w:rsidRDefault="00FD6C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000000" w:rsidRDefault="00FD6C5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1F8"/>
    <w:rsid w:val="00A031F8"/>
    <w:rsid w:val="00E54EF3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2D615-73C2-4D42-BE08-556A1241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2021-07-06T04:48:00Z</dcterms:created>
  <dcterms:modified xsi:type="dcterms:W3CDTF">2021-07-06T04:59:00Z</dcterms:modified>
</cp:coreProperties>
</file>