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945"/>
        <w:gridCol w:w="2533"/>
        <w:gridCol w:w="3321"/>
        <w:gridCol w:w="1116"/>
        <w:gridCol w:w="1286"/>
        <w:gridCol w:w="1470"/>
        <w:gridCol w:w="2087"/>
        <w:gridCol w:w="1995"/>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30.06.2021  г. №.889-2021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11F/11 см/0.035"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предназначен для введения инструментов в просвет артерии. Интродьюсер с гемостатическим клапаном, прозрачный хаб с большим внутренним диаметром, трехстворчатый гемостатический клапан с силиконовым покрытием, соединения дилататора и итродьюсера - завинчивающийся замок, цветовая кодировка размеров. Совместимость с проводником 0.035".  Medikit Supersheath XL: длина 11 см и диаметры  11F;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5F/Multipurpose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катетеризации артерий, введения препаратов. Стилет катетера состоит из металлической сетки с подвижными звеньями и покрыт рентгеноконтрастным полимером с низким коэффициентом трения. Стальная оплетка для придания жесткости и рентгеноконтрастности. Широкий внутренний просвет. Мягкий атравматический кончик. Совместимость с проводником 0.035". Максимальное давление 1200 psi. Модификации: Multipurpose 5F.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гидрофильный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внутренний стержень – никелит титана (нитинол), промежуточный полимерный слой с рентгеноконтрастным компонентом, соединительные слои, наружное четырехслойное гидрофильное покрытие (PhotoLink®). Рентгеноконтрастность по всей длине, усиленная рентгеноконтрастность дистального кончика (3 см). Характеристики: наличие прямых и изогнутых (60°) кончиков. Возможность выбора проводников с обычной жесткостью (длина внутреннего конусообразного дистального сегмента составляет 3,15 см) или с усиленной жесткостью (длина внутреннего конусообразного дистального сегмента составляет 2,32 см). Передача вращательного движения 1:1. Комплектуется вращающим устройством. 5 единиц в упаковке. Размеры: диаметр 0,035"", длина 150, 180 и 260 см.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Стент-графт сосудистый c принадлежностями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Периферический сосудистый саморасширяющийся стент-графт для рентгенэндоваскулярной реконструкции окклюзий и стенозов и улучшения кровотока подвздошных артерий у пациентов с симптоматическими заболеваниями периферических артерий с возможностью использования как одного, так и нескольких стент-графтов. Представляет собой самораскрывающийся нитиноловый (сплав никеля с титаном) каркас, инкапсулированный в два ультратонких слоя растянутого политетрафторэтилена (ePTFE) на доставляющем катетере c мягким атравматичным кончиком. Наличие расклешенного непокрытого стента на обоих концах стент-графта, препятствующего дислокации. Наличие моделей с диаметром 7 мм. Наличие моделей с длиной 4 мм. Не менее 2 типоразмеров по длине шафта. Наличие моделей с длиной шафта не более 117 см. Диаметр проводника – 0, 035”. Диаметр интродьюсера не менее 8 Фр. Углеродное покрытие внутренней стенки стент-графта. Наличие 8-х танталовых рентгенконтрастных маркеров Puzzle, обозначающих оба конца. Направление раскрытия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дистальный сегмент кончика - коаксиальная двойная спираль для точной передачи вращения проводника от проксимального сегмента к кончику.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24 см, дистальные 4 см кончика рентгенконтрастные. Жесткость кончика - 1,2 г/с. Степень жесткости тела проводника - средняя поддержка. Форма кончика прямая. Проксимальный се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для периферических вмешательств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Дизайн катетера: нитиноловая гипотрубка с насечками. Гидрофильное покрытие рабочей части проводника. Возможность репозиционировать без проводника. Один рентгеноконтрастный маркер. Диаметр наружный: дистальной части 2,4F  Диаметр внутренний - 0,021". Конфигурация кончика: Straight, Bern, J, Swan. Совместимость со всеми видами спиралей диаметром 0.018» (0.46 мм), микросферами до 700 микрон и несферическими частицами до 500 мк.  Длина катетера - наличие моделей 105 см, 130 см, 155 см.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Микросферы для химиоэмболизации во флаконе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гидрогель на основе поливинилалкоголь сульфоната. Поверхность микросфер гидрофильная. Возможно насыщение химиотерапевтическими средствами – доксирубицина гидрохлоридом и иринотеканом. Степень уменьшение диаметра микросфер при насыщении химиотерапевтическим средством - не более 20%. Не менее 4 вариантов размерных диапазонов в пределах от не менее 70 до не более 700. Внутренний диаметр совместимого катетера - от не менее 0,017 до не менее 0,025 для разных размеров микросфер. Не менее 4 вариантов цветовой маркировки флаконов в соответствии с количеством вариантов диаметров частиц. Форма выпуска - флакон объемом не менее 10 мл. Соотношение объема частиц к объему буферного раствора: 1:3.</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Микросферы для химиоэмболизации во флаконе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гидрогель на основе поливинилалкоголь сульфоната. Поверхность микросфер гидрофильная. Возможно насыщение химиотерапевтическими средствами – доксирубицина гидрохлоридом и иринотеканом. Степень уменьшение диаметра микросфер при насыщении химиотерапевтическим средством - не более 20%. Не менее 4 вариантов размерных диапазонов в пределах от не менее 70 до не более 700. Внутренний диаметр совместимого катетера - от не менее 0,017 до не менее 0,025 для разных размеров микросфер. Не менее 4 вариантов цветовой маркировки флаконов в соответствии с количеством вариантов диаметров частиц. Форма выпуска - флакон объемом не менее 10 мл. Соотношение объема частиц к объему буферного раствора: 1:3.</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Микросфера для эмболизации Embosphere 300-500mk</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Микросферы для эмболизации Размер 300-500 µm.,2 мл. содержатся в 5 мл стерильного раствора.Упакованы в стерильный флакон  c цветной кодировкой объёмом 10 мл.Стерильные. Гидрофильные, эластичные, сжимаемость до 30%. Сферический дизайн, позволяющий точно выбрать поперечный диаметр микросфер.Ггидрофильная поверхность, препятствующая  слипанию частиц при прохождении через катетер и внутри сосуда.Эластичность, позволяющая частицам временно деформироваться для беспрепятственного движения по катетерам небольших диаметров. Материал-акриловый полимер с желатиновым покрытием.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Микросферы для эмболизации Embosphere 500-700mk</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Микросферы для эмболизации Размер 500-700 µm.,2 мл. содержатся в 5 мл стерильного раствора.Упакованы в стерильный флакон  c цветной кодировкой объёмом 10 мл.Стерильные. Гидрофильные, эластичные, сжимаемость до 30%. Сферический дизайн, позволяющий точно выбрать поперечный диаметр микросфер.Ггидрофильная поверхность, препятствующая  слипанию частиц при прохождении через катетер и внутри сосуда.Эластичность, позволяющая частицам временно деформироваться для беспрепятственного движения по катетерам небольших диаметров. Материал-акриловый полимер с желатиновым покрытием.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Maestro</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многофункциональный для использования в коронарных и периферических сосудах. Размер гибкой дистальной части 20 см для атравматичного проведения в сосуды. Гидрофильное покрытие дистальных 80см. Наличие рентгеноконтрастной платиновой метки, инкапсулированной в стенку катетера, расположенной на расстоянии 1.3 мм проксимальнее дистального конца катетера. Три формы кончика катетера - прямой, с 45-градусным изгибом и "Swan neck". Три размера катетеров (проксимально/дистально): 2.8F/2.4F; 2.8F/2.8F и 2.9F/2.9F. Длина катетер 110, 130 и 150см. Внутренний диаметр катетеров: 0.020" (0.53мм) для катетеров 2.8F/2.4F; 0.024" (064мм) для катетеров 2.8F/28F; 0.027" (0.69мм) для катетеров 2.9F/2.9F. Совместимость с проводников 0,018"  для катетеров 2.8F/2.4F и 0,020" для катетеров 2.8F/2.8F и 2.9F/2.9F. Рекомендованный проводниковый катетер 0.040" (1.02 мм) для катетеров 2.8F/2.4Fи 2.8F/2.8F; и 0.042" (1.0.7мм) для катетеров 2.9F/2.9F. Пропускная способность  для катетеров 2.8F/2.4F 3.41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коронарный 3 см/1.0 г/300 см, 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Предлагаемый проводник: проводник диаметром 0,014"/0,010" с полимерным покрытием (муфтой) дистальной части, включая кончик, с общей диной покрытия не менее 17 см, с длиной рентгеноконтастной оплетки не менее 16 см, с гидрофильным покрытием проксимальной части для прохождения хронических окклюзий, с рентгенконтрастным кончиком длиной 3 см, с нагрузкой на кончик до сгибания не менее 1,0 гр.,  длина проводника 300 см, кончик прямой.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ушивающее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Принцип действия: механическое ушивание по принципу чрескожного ушивания. Диапазон закрываемого пункционного отверстия артериальный доступ: от 5 до 8 F - минимум одно устройство; от 8,5 до 21 F - минимум два устройсва; венозный доступ: от 5 до 8 F - минимум одно устройство; от 8,5 до 24 F - минимум два устройсва. Cовместимость с проводниками: ≤ 0,038 дюйма (0,97 мм). Комплектующие: одно устройство Perclose ProGlide. Одно устройство для проталкивания узла (Устройство для обрезания нити Perclose). Материал шовной нити: одноволоконная полипропиленовая нить (Пролен 3.0). МРТ совместимость: совместим.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 для чрескожного размещения в периферических сосудах. Применяется для проведения инструментария (катетеров, доставляющих систем и др.).  Конструктивные особенности: Комбинация экстражесткого тела проводника (сердечник изготовлен из стали или материала с аналогичными свойствами (нитинол)) и мягкого атравматичного кончика различной конфигурации. Внешний диаметр проводника - 0,035". Тефлоновое покрытие проводника. Длина проводника - 260 см.  Наличие кончиков длиной 1,0 см, 4,0 см, 6,0 см, 7,0 см. Наличие проводников с формой кончика - прямая и J-образная. Стерильный. Одноразовый.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ангиографическая пункционная 18G, без стилета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ангиографическая предназначена для пункции магистральных артерий. Диаметр 18 G без стилета.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Струна-проводник сверхжесткий с покрытием ПТФЭ 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стальной повышенной жесткости для получения доступа к мочевыводящим путям и почкам для позиционирования эндоурологического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 сердечник проводника изготовлен из стали или материала с аналогичными свойствами для обеспечения проталкиваемости и повышенной ренгенконтрастности; проводник имеет 3,5 см гибкий атравматичный дистальный кончик;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260 см. Стерильный. Одноразовый.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внутрисосудистый 5F/100 см/Cobra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проведения диагностических эндоваскулярных процедур на периферических артериях. Наличие разнобразных форм кончиков катетеров. Материал катетера: полиэтилен или нейлон. Внутреннее покрытие: ПТФЭ. Двойная проволочная армировка по всей длине катетера до самого кончика обеспечивает лучшую передачу вращения и возможность управления дистальной частью катетера. Мягкий атравматичный рентгенконтрастный кончик. Диаметр катетера  5F. Пропускная способность при максимальном давлении 10 мл/с. Длина катетера: - 100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Саморасширяющийся стент для периферических артерий, плетёный. Материал стента - кобальт-хромовый сплав. Диаметр стента: 12 мм. Длина стента: для диаметра для диаметра для диаметра 12мм - 40 мм. Тип доставляющей системы – по проводнику (OTW). Длина системы доставки – 135 см.  Дизайн стента - закрытая ячейка, площадь ячейки стента 1,08 мм2. Три рентгенконтрастных маркера - проксимальный, дистальный и на краю покрывающего катетера. Возможность репозиционирования стента в процессе установки при высвобождении из системы доставки - 87% длины стента, высвобожденной из системы доставки. Совестим с интродьюсером: 9F (для диаметра 12 мм). Совместим с проводником 0.035”.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Стент-графт сосудистый c принадлежностями 10F/13,5 х 40 мм/80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 поддержание проходимости подвздошных артерий, особенно в случаях диссекции, люминальной обструкции и частично отделившихся от сосудистой стенки атеросклеротических бляшек, окклюзий после тромболиза, рестеноза. МРТ-совместимость стент-графта (возможность прохождения больным с установленным стент-графтом МРТ-исследований). Возможность раскрытия стента больше указанного на этикетке диаметра при помощи дилятационного баллона. Материал стента – нитинол. Непокрытые расширенные концы стента – не менее 2 мм с каждой стороны. Измерение длины стент-графта от основания рентгенконтрастных маркеров с одной стороны, до основания рентгенконтрастных маркеров с другой стороны. Двойное покрытие стента. Материал покрытия – политетрафторэтилен. Импрегнация внутреннего слоя покрытия углеродом.</w:t>
              <w:br/>
              <w:t>
Рентгенконтрастные маркеры на концах стент-графта. Материал маркеров – тантал. Количество маркеров – не менее 4-х на каждом конце стента. Тип системы доставки – сдвигающаяся (“pull-back”). Дизайн системы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Conquest 40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не выделяющая лекарственное средство гибкая трубка, разработанная для чрескожной транслюминальной ангиопластики (ЧТА) с целью расширения стенозированной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стента/стент-графта. Доступны изделия с несколькими просветами для установки при помощи проводника. Двухпросветный (over-the-wire) Предназначен для ЧТА стенозированных участков в бедренной, подвздошно-бедренной, бедренной и почечной артериях, для лечения обструктивных поражений естественных или искусственных артериовенозных диализных фистул, для постдилатации стент-графта в переферических сосудах. Номинальное давление, не менее 8 атм. Расчетное давление разрыва, атм, не менее 35,40 атм. Баллон ультранекомплаенсный (ультранерастяжимый), выполнен из композитного материала, армирование баллона волокнами кевлара.  Количество складок на балл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Conquest 40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не выделяющая лекарственное средство гибкая трубка, разработанная для чрескожной транслюминальной ангиопластики (ЧТА) с целью расширения стенозированной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стента/стент-графта. Доступны изделия с несколькими просветами для установки при помощи проводника. Двухпросветный (over-the-wire) Предназначен для ЧТА стенозированных участков в бедренной, подвздошно-бедренной, бедренной и почечной артериях, для лечения обструктивных поражений естественных или искусственных артериовенозных диализных фистул, для постдилатации стент-графта в переферических сосудах. Номинальное давление, не менее 8 атм. Расчетное давление разрыва, атм, не менее 35,40 атм. Баллон ультранекомплаенсный (ультранерастяжимый), выполнен из композитного материала, армирование баллона волокнами кевлара.  Количество складок на балл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Conquest 40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не выделяющая лекарственное средство гибкая трубка, разработанная для чрескожной транслюминальной ангиопластики (ЧТА) с целью расширения стенозированной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стента/стент-графта. Доступны изделия с несколькими просветами для установки при помощи проводника. Двухпросветный (over-the-wire) Предназначен для ЧТА стенозированных участков в бедренной, подвздошно-бедренной, бедренной и почечной артериях, для лечения обструктивных поражений естественных или искусственных артериовенозных диализных фистул, для постдилатации стент-графта в переферических сосудах. Номинальное давление, не менее 8 атм. Расчетное давление разрыва, атм, не менее 35,40 атм. Баллон ультранекомплаенсный (ультранерастяжимый), выполнен из композитного материала, армирование баллона волокнами кевлара.  Количество складок на балл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Conquest 40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не выделяющая лекарственное средство гибкая трубка, разработанная для чрескожной транслюминальной ангиопластики (ЧТА) с целью расширения стенозированной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стента/стент-графта. Доступны изделия с несколькими просветами для установки при помощи проводника. Двухпросветный (over-the-wire) Предназначен для ЧТА стенозированных участков в бедренной, подвздошно-бедренной, бедренной и почечной артериях, для лечения обструктивных поражений естественных или искусственных артериовенозных диализных фистул, для постдилатации стент-графта в переферических сосудах. Номинальное давление, не менее 8 атм. Расчетное давление разрыва, атм, не менее 35,40 атм. Баллон ультранекомплаенсный (ультранерастяжимый), выполнен из композитного материала, армирование баллона волокнами кевлара.  Количество складок на балл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Conquest 40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не выделяющая лекарственное средство гибкая трубка, разработанная для чрескожной транслюминальной ангиопластики (ЧТА) с целью расширения стенозированной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стента/стент-графта. Доступны изделия с несколькими просветами для установки при помощи проводника. Двухпросветный (over-the-wire) Предназначен для ЧТА стенозированных участков в бедренной, подвздошно-бедренной, бедренной и почечной артериях, для лечения обструктивных поражений естественных или искусственных артериовенозных диализных фистул, для постдилатации стент-графта в переферических сосудах. Номинальное давление, не менее 8 атм. Расчетное давление разрыва, атм, не менее 35,40 атм. Баллон ультранекомплаенсный (ультранерастяжимый), выполнен из композитного материала, армирование баллона волокнами кевлара.  Количество складок на балл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дилятационный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не выделяющая лекарственное средство гибкая трубка, разработанная для чрескожной транслюминальной ангиопластики (ЧТА) с целью расширения стенозированной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стента/стент-графта. Доступны изделия с несколькими просветами для установки при помощи проводника. Двухпросветный (over-the-wire) Предназначен для ЧТА стенозированных участков в подвздошных артериях, для лечения обструктивных поражений естественных или искусственных артериовенозных диализных фистул, для постдилатации стент-графта в переферических сосудах. Номинальное давление  6 атм. Расчетное давление разрывание  не менее 18. Баллон ультранекомплаенсный (ультранерастяжимый), выполнен из композитного материала, армирование баллона волокнами кевлара. Укороченные плечи. Возможность повторного сворачивания баллона и обратного низведения 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дилятационный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не выделяющая лекарственное средство гибкая трубка, разработанная для чрескожной транслюминальной ангиопластики (ЧТА) с целью расширения стенозированной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стента/стент-графта. Доступны изделия с несколькими просветами для установки при помощи проводника. Двухпросветный (over-the-wire) Предназначен для ЧТА стенозированных участков в подвздошных артериях, для лечения обструктивных поражений естественных или искусственных артериовенозных диализных фистул, для постдилатации стент-графта в переферических сосудах. Номинальное давление  6 атм. Расчетное давление разрывание  не менее 18. Баллон ультранекомплаенсный (ультранерастяжимый), выполнен из композитного материала, армирование баллона волокнами кевлара. Укороченные плечи. Возможность повторного сворачивания баллона и обратного низведения 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 0.035"/180см/J-изгиб 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покрытия – политетрафторэтилен. Доступные заданные варианты кривизны длистального сегмента – прямой, J-образный. Доступные диаметры J-образного изгиба дистального сегмента - 1.5 мм, 3 мм, 6 мм, 12 мм. Доступные длины проводников - 40 см, 80 см, 100 см, 125 см, 150 см, 180 см, 260 см. Доступные диаметры проводников - 0.018", 0.025", 0.028", 0.032", 0.035", 0.038". Доступные степени жесткости - пониженная, стандартная, повышенная. Наличие моделей с подвижным стилетом. Наличие моделей с двумя гибкими сегментами. Требуемая модификация: диаметр 0,035", J-образный изгиб дистального сегмента -3 мм, жесткость стандартная. Размер: 180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5F/11см/0.035"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5F.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Medikit 7F/25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рентгенконтрастный пластик. Несминаемость трубки при прохождении изгибов. Трехстворчатый дизайн клапана интродьюсера. Силиконовое покрытие клапана интродьюсера. Цветовая маркировка интродьюсеров в зависимости от диаметра.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8F/11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0,038". Цветовая маркировка интродьюсеров в зависимости от диаметра. Требуемый размер: длина 11 см, диаметр 8F.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Саморасширяющийся стент для периферических артерий, плетёный. Материал стента - кобальт-хромовый сплав. Диаметр стента: 10 мм. Длина стента для диаметра 10мм - 42 мм. Тип доставляющей системы – по проводнику (OTW). Длина системы доставки – 135 см.  Дизайн стента - закрытая ячейка, площадь ячейки стента 1,08 мм2. Три рентгенконтрастных маркера - проксимальный, дистальный и на краю покрывающего катетера. Возможность репозиционирования стента в процессе установки при высвобождении из системы доставки - 87% длины стента, высвобожденной из системы доставки. Совестим с интродьюсером: 7F. Совместим с проводником 0.035”.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по 31.12.20.21 г., по заявке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02.07.2021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