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2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535"/>
        <w:gridCol w:w="3315"/>
        <w:gridCol w:w="1125"/>
        <w:gridCol w:w="1275"/>
        <w:gridCol w:w="1470"/>
        <w:gridCol w:w="2100"/>
        <w:gridCol w:w="1995"/>
        <w:gridCol w:w="1650"/>
        <w:gridCol w:w="1905"/>
      </w:tblGrid>
      <w:tr>
        <w:trPr>
          <w:cantSplit/>
        </w:trPr>
        <w:tc>
          <w:tcPr>
            <w:gridSpan w:val="3"/>
            <w:shd w:val="clear" w:color="auto" w:fill="auto"/>
            <w:tcW w:w="6795" w:type="dxa"/>
            <w:vAlign w:val="bottom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бюджетное учреждение здравоохранения</w:t>
            </w:r>
            <w:r/>
          </w:p>
        </w:tc>
        <w:tc>
          <w:tcPr>
            <w:shd w:val="clear" w:color="auto" w:fill="auto"/>
            <w:tcW w:w="112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W w:w="2745" w:type="dxa"/>
            <w:vAlign w:val="bottom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Руководителю</w:t>
            </w:r>
            <w:r/>
          </w:p>
        </w:tc>
        <w:tc>
          <w:tcPr>
            <w:shd w:val="clear" w:color="auto" w:fill="auto"/>
            <w:tcW w:w="210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9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65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0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W w:w="6795" w:type="dxa"/>
            <w:vAlign w:val="bottom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Краевая клиническая больница</w:t>
            </w:r>
            <w:r/>
          </w:p>
        </w:tc>
        <w:tc>
          <w:tcPr>
            <w:shd w:val="clear" w:color="auto" w:fill="auto"/>
            <w:tcW w:w="112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27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47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10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9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65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0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W w:w="6795" w:type="dxa"/>
            <w:vAlign w:val="bottom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П. Железняка, 3, г. Красноярск, 660022</w:t>
            </w:r>
            <w:r/>
          </w:p>
        </w:tc>
        <w:tc>
          <w:tcPr>
            <w:shd w:val="clear" w:color="auto" w:fill="auto"/>
            <w:tcW w:w="112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27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47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10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9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65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0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W w:w="6795" w:type="dxa"/>
            <w:vAlign w:val="bottom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226-99-97</w:t>
            </w:r>
            <w:r/>
          </w:p>
        </w:tc>
        <w:tc>
          <w:tcPr>
            <w:shd w:val="clear" w:color="auto" w:fill="auto"/>
            <w:tcW w:w="112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27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47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10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9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65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0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W w:w="6795" w:type="dxa"/>
            <w:vAlign w:val="bottom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Факс: 8 (391) 220-16-23</w:t>
            </w:r>
            <w:r/>
          </w:p>
        </w:tc>
        <w:tc>
          <w:tcPr>
            <w:shd w:val="clear" w:color="auto" w:fill="auto"/>
            <w:tcW w:w="112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27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47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10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9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65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0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W w:w="6795" w:type="dxa"/>
            <w:vAlign w:val="bottom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Е-mail: kkb@ medqorod. ru</w:t>
            </w:r>
            <w:r/>
          </w:p>
        </w:tc>
        <w:tc>
          <w:tcPr>
            <w:shd w:val="clear" w:color="auto" w:fill="auto"/>
            <w:tcW w:w="112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27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47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10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9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65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0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W w:w="6795" w:type="dxa"/>
            <w:vAlign w:val="bottom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Http://www.medgorod.ru</w:t>
            </w:r>
            <w:r/>
          </w:p>
        </w:tc>
        <w:tc>
          <w:tcPr>
            <w:shd w:val="clear" w:color="auto" w:fill="auto"/>
            <w:tcW w:w="112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27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47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10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9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65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0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W w:w="6795" w:type="dxa"/>
            <w:vAlign w:val="bottom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ОКПО 01913234</w:t>
            </w:r>
            <w:r/>
          </w:p>
        </w:tc>
        <w:tc>
          <w:tcPr>
            <w:shd w:val="clear" w:color="auto" w:fill="auto"/>
            <w:tcW w:w="112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27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47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10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9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65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0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</w:tr>
      <w:tr>
        <w:trPr>
          <w:cantSplit/>
          <w:trHeight w:val="358"/>
        </w:trPr>
        <w:tc>
          <w:tcPr>
            <w:gridSpan w:val="3"/>
            <w:shd w:val="clear" w:color="auto" w:fill="auto"/>
            <w:tcW w:w="6795" w:type="dxa"/>
            <w:vAlign w:val="bottom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ИНН/КПП 2465030876/246501001</w:t>
            </w:r>
            <w:r/>
          </w:p>
        </w:tc>
        <w:tc>
          <w:tcPr>
            <w:shd w:val="clear" w:color="auto" w:fill="auto"/>
            <w:tcW w:w="112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27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47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10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9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65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0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W w:w="6795" w:type="dxa"/>
            <w:vAlign w:val="bottom"/>
            <w:textDirection w:val="lrTb"/>
            <w:noWrap w:val="false"/>
          </w:tcPr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25.06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2 024 г. №.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887-2024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W w:w="112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27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47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10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9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65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0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W w:w="6795" w:type="dxa"/>
            <w:vAlign w:val="bottom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№_________ от ________________</w:t>
            </w:r>
            <w:r/>
          </w:p>
        </w:tc>
        <w:tc>
          <w:tcPr>
            <w:shd w:val="clear" w:color="auto" w:fill="auto"/>
            <w:tcW w:w="112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27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47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10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9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65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0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</w:tr>
      <w:tr>
        <w:trPr>
          <w:cantSplit/>
        </w:trPr>
        <w:tc>
          <w:tcPr>
            <w:shd w:val="clear" w:color="auto" w:fill="auto"/>
            <w:tcW w:w="94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53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331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12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27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47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10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9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65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0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W w:w="6795" w:type="dxa"/>
            <w:vAlign w:val="bottom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коммерческом предложении</w:t>
            </w:r>
            <w:r/>
          </w:p>
        </w:tc>
        <w:tc>
          <w:tcPr>
            <w:shd w:val="clear" w:color="auto" w:fill="auto"/>
            <w:tcW w:w="112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27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47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10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9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65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0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</w:tr>
      <w:tr>
        <w:trPr>
          <w:cantSplit/>
        </w:trPr>
        <w:tc>
          <w:tcPr>
            <w:shd w:val="clear" w:color="auto" w:fill="auto"/>
            <w:tcW w:w="94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53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331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12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27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47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10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9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65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0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</w:tr>
      <w:tr>
        <w:trPr>
          <w:cantSplit/>
        </w:trPr>
        <w:tc>
          <w:tcPr>
            <w:gridSpan w:val="7"/>
            <w:shd w:val="clear" w:color="auto" w:fill="auto"/>
            <w:tcW w:w="12765" w:type="dxa"/>
            <w:vAlign w:val="bottom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господа!</w:t>
            </w:r>
            <w:r/>
          </w:p>
        </w:tc>
        <w:tc>
          <w:tcPr>
            <w:shd w:val="clear" w:color="auto" w:fill="auto"/>
            <w:tcW w:w="199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65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0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</w:tr>
      <w:tr>
        <w:trPr>
          <w:cantSplit/>
        </w:trPr>
        <w:tc>
          <w:tcPr>
            <w:gridSpan w:val="10"/>
            <w:shd w:val="clear" w:color="auto" w:fill="auto"/>
            <w:tcW w:w="18315" w:type="dxa"/>
            <w:vAlign w:val="bottom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tcW w:w="945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auto" w:sz="5" w:space="0"/>
              <w:bottom w:val="single" w:color="auto" w:sz="5" w:space="0"/>
              <w:right w:val="single" w:color="auto" w:sz="5" w:space="0"/>
            </w:tcBorders>
            <w:tcW w:w="2535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</w:t>
            </w:r>
            <w:r/>
          </w:p>
        </w:tc>
        <w:tc>
          <w:tcPr>
            <w:shd w:val="clear" w:color="auto" w:fill="auto"/>
            <w:tcBorders>
              <w:top w:val="single" w:color="auto" w:sz="5" w:space="0"/>
              <w:bottom w:val="single" w:color="auto" w:sz="5" w:space="0"/>
              <w:right w:val="single" w:color="auto" w:sz="5" w:space="0"/>
            </w:tcBorders>
            <w:tcW w:w="3315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Характеристики</w:t>
            </w:r>
            <w:r/>
          </w:p>
        </w:tc>
        <w:tc>
          <w:tcPr>
            <w:shd w:val="clear" w:color="auto" w:fill="auto"/>
            <w:tcBorders>
              <w:top w:val="single" w:color="auto" w:sz="5" w:space="0"/>
              <w:bottom w:val="single" w:color="auto" w:sz="5" w:space="0"/>
              <w:right w:val="single" w:color="auto" w:sz="5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изм.</w:t>
            </w:r>
            <w:r/>
          </w:p>
        </w:tc>
        <w:tc>
          <w:tcPr>
            <w:shd w:val="clear" w:color="auto" w:fill="auto"/>
            <w:tcBorders>
              <w:top w:val="single" w:color="auto" w:sz="5" w:space="0"/>
              <w:bottom w:val="single" w:color="auto" w:sz="5" w:space="0"/>
              <w:right w:val="single" w:color="auto" w:sz="5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шт</w:t>
            </w:r>
            <w:r/>
          </w:p>
        </w:tc>
        <w:tc>
          <w:tcPr>
            <w:shd w:val="clear" w:color="auto" w:fill="auto"/>
            <w:tcBorders>
              <w:top w:val="single" w:color="auto" w:sz="5" w:space="0"/>
              <w:bottom w:val="single" w:color="auto" w:sz="5" w:space="0"/>
              <w:right w:val="single" w:color="auto" w:sz="5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Цена, рублей</w:t>
            </w:r>
            <w:r/>
          </w:p>
        </w:tc>
        <w:tc>
          <w:tcPr>
            <w:shd w:val="clear" w:color="auto" w:fill="auto"/>
            <w:tcBorders>
              <w:top w:val="single" w:color="auto" w:sz="5" w:space="0"/>
              <w:bottom w:val="single" w:color="auto" w:sz="5" w:space="0"/>
              <w:right w:val="single" w:color="auto" w:sz="5" w:space="0"/>
            </w:tcBorders>
            <w:tcW w:w="2100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Страна происхождения</w:t>
            </w:r>
            <w:r/>
          </w:p>
        </w:tc>
        <w:tc>
          <w:tcPr>
            <w:shd w:val="clear" w:color="auto" w:fill="auto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tcW w:w="1995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Остаточный срок годности</w:t>
            </w:r>
            <w:r/>
          </w:p>
        </w:tc>
        <w:tc>
          <w:tcPr>
            <w:shd w:val="clear" w:color="auto" w:fill="auto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ОКПД2\КТРУ</w:t>
            </w:r>
            <w:r/>
          </w:p>
        </w:tc>
        <w:tc>
          <w:tcPr>
            <w:shd w:val="clear" w:color="auto" w:fill="auto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вида МИ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tcW w:w="945" w:type="dxa"/>
            <w:vAlign w:val="top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5" w:space="0"/>
              <w:bottom w:val="single" w:color="auto" w:sz="5" w:space="0"/>
              <w:right w:val="single" w:color="auto" w:sz="5" w:space="0"/>
            </w:tcBorders>
            <w:tcW w:w="2535" w:type="dxa"/>
            <w:vAlign w:val="top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медицинского оборудования</w:t>
            </w:r>
            <w:r/>
          </w:p>
        </w:tc>
        <w:tc>
          <w:tcPr>
            <w:shd w:val="clear" w:color="auto" w:fill="auto"/>
            <w:tcBorders>
              <w:top w:val="single" w:color="auto" w:sz="5" w:space="0"/>
              <w:bottom w:val="single" w:color="auto" w:sz="5" w:space="0"/>
              <w:right w:val="single" w:color="auto" w:sz="5" w:space="0"/>
            </w:tcBorders>
            <w:tcW w:w="3315" w:type="dxa"/>
            <w:vAlign w:val="top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медицинского компрессорного оборудования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КГБУЗ «Краевая клиническая больница»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оборудования, являющегося предметом контракта: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Компрессорная станция RMED TSCM 15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потенциальной опасности применения 2а,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Анестезиологические и респираторные медицинские изделия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Наименование    Модель  Серийный №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станция сжатого воздуха RMED TSCM 15  s/n: 2203282449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Компрессор " Storm "    16-10   5862650001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Компрессор " Storm "    16-10   5862650002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Компрессор " Storm "    16-10   5680930002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Вакуумная станция CTV 500-65B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потенциальной опасности применения 2а,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Вспомогательные и общебольничные медицинские изделия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Наименование    Модель  Серийный №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вакуумная станция "Agilent Technologies" CTV 500-65B, s/n: IT2122N253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Насос вакуумный PVR EU67    IT2123N070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Насос вакуумный PVR EU67    IT2123N073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Насос вакуумный PVR EU67    IT2123N074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Компрессорная станция сAIR-8000-QG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потенциальной опасности применения 2а,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Анестезиологические и респираторные медицинские изделия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Наименование    Модель  Серийный №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станция сжатого воздуха сAIR-8000-QG  s/n: GCF 050377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Компрессор "Atlas Copco"    GA22MED ITJ 152114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Компрессор "Atlas Copco"    GA22MED ITJ 152112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Компрессор "Atlas Copco"    GA22MED ITJ 066749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Компрессор "Atlas Copco"    GA22MED ITJ 152113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 Шкаф управления "Atlas Copco"   8102370254  2018 01479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осушения и очистки воздуха "Atlas Copco" dMED 145 s/n: GCF 050378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 Осушитель воздуха "Atlas Copco" Air dryer   API 246065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 Осушитель воздуха "Atlas Copco" Air dryer   API 246692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Вакуумная станция "Atlas Copco" mVAC-4950-Q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потенциальной опасности применения 2а,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Анестезиологические и респираторные медицинские изделия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Наименование    Модель  Серийный №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вакуумная станция "Atlas Copco" mVAC-4950-Q, s/n: GCF050383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Насос вакуумный BUSCH   RA 0302 D 503   C1820000891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Насос вакуумный BUSCH   RA 0302 D 503   C1820000890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Насос вакуумный BUSCH   RA 0302 D 503   C1810000271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Насос вакуумный BUSCH   RA 0302 D 503   C1802000742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Компрессор "Atlas Copco" GX7FFEP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потенциальной опасности применения 2а,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Анестезиологические и респираторные медицинские изделия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Наименование    Модель  Серийный №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Компрессор медицинский воздушный "Atlas Copco"  GX7FFEP ITJ223528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оказания услуг: г. Красноярск, ул. Партизана Железняка, 3а. КГБУЗ «Краевая клиническая больница».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оказания услуг: 12 месяцев с момента заключения контракта.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Общие требования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по техническому обслуживанию системы подачи сжатого воздуха и вакуума представляют собой совокупность организационно - технич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еских положений и мероприятий, необходимых для обеспечения ежедневной безаварийной круглосуточной подачи сжатого воз-духа и вакуума с заданными рабочими параметрами в точки их потребления в целях каче-ственного проведения лечебно-диагностического процесса.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технологического оборудования проводится в соответствии с федеральными законами, отраслевыми методическими рекомендациями, регламентами, нор-мами и правилами, действующими на территории Российской Федерации.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услуг по техническому обслуживанию системы подачи медицинских газов обеспечивает поддержание работоспособности и достижение заданного ресурса работы техно-логического оборудования при его непрерывной эксплуатации Заказчиком.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Требования к качеству оказания услуг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по техническому обслуживанию системы подачи сжатого воздуха и вакуума должны быть выполнены в согласованные Заказчиком сроки.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работы по техническому обслуживанию и ремонту должны проводиться согласно действующей технической и эксплуатационной документации изготовителя.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должны быть исполнены в соответствии с требованиями государственных стан-дартов, технических условий и техники безопасности, с соблюдением правил охраны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руда, электробезопасности, охраны окружающей среды и пожарной безопасности, в соответствии с инструкциями заводов изготовителей, техническими нормативами, правилами, с требования-ми соответствующих нормативно-правовых документов, принятых на территории РФ.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должно осуществляться в соответствии со следующими нормативными документами: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«Федеральный закон от 21.07.1997 г. № 116-ФЗ «О промышленной безопасности опас-ных производственных объектов» (с изменениями и дополнениями).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«ФНП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давлением». Введены приказом Ростехнадзора № 116 от 25.03.14 г.».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«Свод правил СП 158.13330.2014 "Здания и помещения медицинских организаций. Правила проектирования»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«Технический регламент Таможенного союза «О безопасности оборудования, работа-ющего под избыточным давлением» (ТР ТС 032/2013). Введен в действие с 01 февраля 2014 г.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«Рекомендации по устройству и безопасной эксплуатации технологических трубопро-водов". Выпуск 67, п. 239,240».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«Правила противопожарного режима в Российской Федерации», утвержденные По-становлением Правительства РФ от 25.04.2012, № 390» с изменениями на 06.04.2016 г.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ГОСТ 12.1.004-91 «Пожарная безопасность. Общие требования».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ГОСТ 12.1.030-81 ССБТ «Электробезопасность. Защитное заземление, зануление».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ППБО-07-91 «Правила пожарной безопасности для учреждений здравоохранения».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ГОСТ Р 57501-2017 Техническое обслуживание медицинских изделий. Требования для государственных закупок.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ГОСТ Р 58451-2019. Национальный стандарт Российской Федерации. Изделия меди-цинские. Обслуживание техническое. Основные положения.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до начала оказания услуг должен предоставить следующие документы: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Исполнитель обязан иметь лицензию на осуществл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случая технического обсл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уживания медицинских изделий с низкой степенью потенциального риска их применения), выданной Федеральной службой по надзору в сфере здравоохранения в соответствии с Постановлением Правительства РФ от 30.11.2021 № 2129 «Об утверждении Положения о лицензиров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ании деятельности по техническому обслужи-ванию медицинских изделий (за исключением случая, если техническое обслуживание осу-ществляется для обеспечения собственных нужд юридического лица или индивидуального предпринимателя, а также случая технического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служивания медицинских изделий с низкой степенью потенциального риска их применения), в части технического обслуживания групп медицинских изделий (кроме программного обеспечения, являющегося медицинским издели-ем) класса 2а потенциального риска применения.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действующие удостоверения, свидетельства и квалификационные аттестаты обслужи-вающего персонала, а именно: удостоверения персонала, обсл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уживающего оборудование, ра-ботающее под давлением; удостоверения по обслуживанию компрессорных установок. Персо-нал должен быть обучен и аттестован. Квалификация специалистов должна быть подтверждена удостоверяющими документами (дипломами, сертификатами).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технический персонал Исполнителя должен иметь удостоверение по электробезопас-ности не ниже 3-й группы при выполнении работ на объектах Заказчика.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Гарантия своевременности оказания услуг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услуги по техническому обслуживанию систем подачи сжатого воздуха и вакуума должны выполняться своевременно, в соответствии с данным Техническим заданием и заявка-ми Заказчика;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случае возникновения аварийной ситуации Исполнитель обеспечивает прибытие аварийной бригады по адресу Заказчика в течение не более 1 часа, в том числе в нерабочее время, выходные и праздничные дни (круглосуточно);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устранение неисправностей производится в течение не более 2 часов с момента при-бытия Исполнителя на объект. В случае если для проведен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ремонта оборудования необходи-ма запасная часть, не входящая в техническое задание по обслуживанию оборудования, срок проведения ремонта увеличивается с учетом срока, необходимого Заказчику для предоставле-ния Исполнителю соответствующей запасной части.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предоставляет гарантию на ремонтно-профилактические, аварийные, вне-плановые работы – не менее 12 месяцев с даты подписания акта оказанных услуг.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некачественного оказания услуг устранение недостатков производится силами и за счет Исполнителя.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Требования к порядку оказания услуг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оказываются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условиях действующего лечебного учреждения, без остановки лечебного процесса. Время оказания услуг должно согласовываться с Заказчиком. Исполните-лю необходимо обеспечить соблюдение правил действующего внутреннего распорядка, кон-трольно-пропускного режима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внутренних положений и инструкций, требований администра-ции Заказчика. Специалисты Исполнителя должны быть обеспечены приборами, поверенным измерительным и другим необходимым оборудованием, инструментом, а также необходимым запасом расходных материалов.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Ответственность за соблюдение правил промышленной и пожарной безопасности, охраны труда и соблюдение санитарно-гигиенического режима в зоне выполнения работ воз-лагается на Исполнителя, который назначает ответственных за выполнение работ лиц. 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 обязан проверить до начала оказания услуг наличие рабочей документа-ции (инструкции, схемы, чертежи), провести обследование подлежащей обслу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живанию систе-мы с целью определения ее состояния и согласовать содержание регламентно-профилактических и мелких ремонтных работ с Заказчиком. Исполнитель ежемесячно предо-ставляет Заказчику Акт оказанных услуг в соответствии с данным Техническим заданием.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Плановые отключения системы медицинского газоснабжения или ее частей могут про-изводиться только по предварительному согласованию с Заказчиком.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обязан по требованию Заказчика предоставить всю информацию и соот-ветствующую документацию, наработанную в рамках исполнения контракта.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Техническое обслуживание и ремонт.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   Воздушный винтовой компрессор " Storm "16-10 – 3 комплекта. Шкаф управления RMED TSCM 15 2203282449 – 1 комплект.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(Место размещения: г. Красноярск, ул. Партизана Железняка, 3-А/3, каб. № А053)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Регламентно-профилактические работы.    Периодичность выполнения за период действия контракта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Подготовительные работы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Замена масла (один раз в год)  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Замена  набора фильтров (OIL FILTER, AIR FILTER, SEPARATOR FILTER, OIL CHECK VALVE, SILENCER) (один раз в год) 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Контроль уровня масла, проверка работы масляной системы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Проверка электрических соединений (протяжка контактов) и блока управления 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Проверка герметичности масляной, воздушной систем 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 Контроль состояния теплообменника 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Проверка состояния фильтрующих элементов  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 Слив конденсата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 Проверка состояния предохранительных клапанов 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    Очистка теплообменника  (продувка)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    Проверка параметров программирования  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    Проверка механических частей, затяжка гаек и болтов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1.13    Замена  фильтрующих элементов осушителя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    Замена  масляного сепаратора (SERVICE KIT FOR WATER/OIL SEPARATOR 120SSK with indicator pack)  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    Поршень для золотникового клапана осушителя HDT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1.16    Глушитель 1/2", S2112, с фильтром из нержавеющей стали 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Ремонт оборудования с использованием запасных частей, в том чис-ле, предоставляемых Заказчиком, при возникновении потребности   Наличие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Документирование: по результатам проведенного ремонта ИС-ПОЛНИТЕЛЕМ делается запись в журнале тех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нического обслужи-вания собственника оборудования, с перечислением всех выявлен-ных дефектов и неисправностей, перечнем работ по замене и  выда-чей дефектного акта на неисправные узлы и механизмы.   По каждому эпизоду прове-дения обслужи-вания или ре-монта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   Медицинская вакуумная станция "Agilent Technologies" CTV 500-65B.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 вакуумный PVR EU67 – 3 комплекта.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(Место размещения: г. Красноярск, ул. Партизана Железняка, 3-А/3, каб. № С009)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Наименование регламентно-профилактических работ, оказания услуг Периодичность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Подготовительные работы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Замена сервисного комплекта насоса вакуумного PVR EU67 (один раз в год)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Замена масла (один раз в год)  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Контроль уровня масла, проверка работы масляной системы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Очистка кожуха вентилятора, шкивов вентилятора, экрана защиты вентиляции и охлаждающих ребер  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 Слив конденсата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Замена антибактериальных фильтров (один раз в год) 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 Проверка целостности оплетки гибких шлангов и труб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 Проверка механических соединений, затяжка гаек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    Проверка электрических соединений (протяжка контактов) и блока управления 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    Проверка параметров программирования  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Ремонт оборудования с использованием запасных частей, в том числе, предоставляемых Заказчиком, при возникновении потребно-сти   Наличие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Документирование: по результатам проведенного ремонта ИС-ПОЛНИТЕЛЕМ делается запись в журнале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ехнического обслужи-вания собственника оборудования, с перечислением всех выявлен-ных дефектов и неисправностей, перечнем работ по замене и  выда-чей дефектного акта на неисправные узлы и механизмы.   По каждому эпи-зоду проведения обслуживания или ремонта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   Воздушный винтовой компрессор Atlas Сopco GA 22 MED – 4 комплекта. Шкаф управления "Atlas Copco" 8102370254 – 1 комплект.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(Место размещения: г. Красноярск, ул. Партизана Железняка, 3-А/3, каб. № А053)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Регламентно-профилактические работы.    Периодичность выполнения за период действия контракта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Подготовительные работы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Замена масла (один раз в год)   2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Замена  сервисного набора 4000H (один раз в год)   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1,3 Замена ремкомплектов разгрузочного клапана, КМД  и термостата  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Контроль уровня масла, проверка работы масляной системы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 Проверка электрических соединений (протяжка контактов) и блока управления 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Проверка герметичности масляной, воздушной систем 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 Контроль состояния теплообменника 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 Проверка состояния фильтрующих элементов  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    Слив конденсата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    Проверка состояния предохранительных клапанов 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    Очистка теплообменника  (продувка)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1.13    Проверка параметров программирования  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    Проверка механических частей, затяжка гаек и болтов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Ремонт оборудования с использованием запасных частей, в том чис-ле, предоставляемых Заказчиком, при возникновении потребности   Наличие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Документирование: по результатам проведенного ремонта ИС-ПОЛНИТЕЛЕМ делается запись в журнале тех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нического обслужи-вания собственника оборудования, с перечислением всех выявлен-ных дефектов и неисправностей, перечнем работ по замене и  выда-чей дефектного акта на неисправные узлы и механизмы.   По каждому эпизоду прове-дения обслужи-вания или ре-монта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   Установка подготовки сжатого воздуха Atlas Сopco dMED 145. Осушитель воздуха "Atlas Copco" Air dryer – 2 комплекта.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(Место размещения: г. Красноярск, ул. Партизана Железняка, 3-Ф/3, каб. № А053)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Наименование регламентно-профилактических работ, оказания услуг Периодичность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   Подготовительные работы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   Замена фильтров DP170+ и PD170+ 1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   Проверка электрических соединений (протяжка контактов) и блока управления 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   Проверка механических соединений, затяжка гаек, болтов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   Проверка герметичности воздушной системы  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   Замена глушителей (при наработке 4000 часов или один раз в год)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   Осмотр, проверка газовых датчиков  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   Осмотр электрического блока управления 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    Проверка параметров программирования   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   Проверка функционирования запорной арматуры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Ремонт оборудования с использованием запасных частей, в том числе, предоставляемых Заказчиком, при возникновении потребно-сти   Наличие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Документирование: по результатам проведенного ремонта ИС-ПОЛНИТЕЛЕМ делается запись в журнале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ехнического обслужи-вания собственника оборудования, с перечислением всех выявлен-ных дефектов и неисправностей, перечнем работ по замене и  выда-чей дефектного акта на неисправные узлы и механизмы.   По каждому эпи-зоду проведения обслуживания или ремонта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  Медицинская вакуумная станция mVAC-4950-Q. Насос вакуумный BUSCH RA 0302 D 503 – 4 комплекта.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(Место размещения: г. Красноярск, ул. Партизана Железняка, 3-А/3, каб. № С009)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Наименование регламентно-профилактических работ, оказания услуг Периодичность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Подготовительные работы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Замена сервисного комплекта R 5 0250/0302D (при наработке 4000 часов или один раз в год) в составе: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Уплотнение 263 х 168 х 1,5 PN 0481502719 - 4 шт.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Уплотнение 198 х 188 х 1 PN 0481502721 - 4 шт.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Прокладка O-ring 22 х 2 FKM 70 PN Z486000505 - 4 шт.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Масляный фильтр d 93 x 142 PN Z531000001- 4 шт.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Выхлопной фильтр d 72 х 375 - 12 шт.   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Замена масла (один раз в год)  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Контроль уровня масла, проверка работы масляной системы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Очистка кожуха вентилятора, шкивов вентилятора, экрана защиты вентиляции и охлаждающих ребер  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 Слив конденсата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Проверка целостности оплетки гибких шлангов и труб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 Проверка механических соединений, затяжка гаек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 Проверка электрических соединений (протяжка контактов) и блока управления 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    Проверка параметров программирования  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Ремонт оборудования с использованием запасных частей, в том числе, предоставляемых Заказчиком, при возникновении потребно-сти   Наличие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Документирование: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проведенного ремонта ИСПОЛНИТЕЛЕМ делается запись в журнале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технического обслуживания собственника обору-дования, с перечислением всех выявленных дефектов и неисправ-ностей, перечнем работ по замене и  выдачей дефектного акта на неисправные узлы и механизмы.   По каждому эпи-зоду проведения обслуживания или ремонта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5.6.    Компрессор медицинский воздушный GX7FFEP, sn ITJ223528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(Место размещения: г. Красноярск, ул. Партизана Железняка, 3-А/3.)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   Наименование регламентно-профилактических работ, оказания услуг Периодичность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   Подготовительные работы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   Замена масла (один раз в год)  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   Замена фильтров (один раз в год)   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   Замена ремней (один раз в год) 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   Замена дренажного клапана  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   Замена ремкомплектов всасывающего клапана, КМД  и термостата   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   Контроль уровня масла, проверка работы масляной системы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   Проверка электрических соединений (протяжка контактов) и блока управления 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    Проверка состояния фильтрующих элементов  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   Слив конденсата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1.11.   Проверка состояния предохранительных клапанов 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1.12.   Очистка теплообменника  (продувка)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1.13.   Проверка параметров программирования  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1.14.   Проверка механических частей, затяжка гаек и болтов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Ремонт оборудования с использованием запасных частей, в том числе, предоставляемых Заказчиком, при возникновении потребно-сти   Наличие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Документирование: по результатам проведенного ремонта Испол-нителем делается запись в журна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 технического обслуживания собственника оборудования, с перечислением всех выявленных де-фектов и неисправностей, перечнем работ по замене и выдачей де-фектного акта на неисправные узлы и механизмы. По каждому эпи-зоду проведения обслуживания или ремонта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Перечень запасных частей и расходных материалов к оборудованию, подлежащих обя-зательной замене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   Наименование    Ед. изм.    Кол-во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А. Вакуумная станция CTV500-65B № IT2122N253         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Ремонтный комплект на 2000 часов для насоса вакуу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 EU47/67.  Артикул: KMO047. Страна-изготовитель – Италия. Состав комплекта: выпускной фильтр (нетканный материал) с 2-мя уплотнителями – 1 шт., уплотнительное кольцо - 2 шт. (бума-га), масляный фильтр - 1 шт., уплотнение масляного бака - 1 шт.   шт  3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Картридж для фильтра F84 (бумажный, 7 мкм; габариты 98х60х70 мм; Артикул: 000901 Страна-изготовитель - Италия   шт  3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Картридж BSV-0300-DA для Фильтра антибактериального CLV-0300-XA 20 700,00 2 20 33 120,00 Артикул: BSV-0300-DA Стра-на-изготовитель - Италия шт  2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Масло минеральное Agilent Vacuum Oil 68.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Страна-изготовитель - Италия    л   12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В. Станция медицинская компрессорная RMED TSCM 15        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Набор фильтров (LLK A BELT 11-16 4000H STORM 15/16) шт  3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Ремень для шкива (CINGHIA POLY-V L6)    шт  3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Фильтрующий элемент (REPLACEMENT ELEMENT GS SE119)  шт  2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Фильтрующий элемент (REPLACEMENT ELEMENT GS AE119AC)    шт  2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 Фильтрующий элемент (REPLACEMENT ELEMENT GS AE119x1)    шт  2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 Фильтрующий элемент (REPLACEMENT ELEMENT GS AE119xA)    шт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 Клапан воздушный (KIT REV.GRUPPO ASP.IR30 NEW)  шт  3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Клапан минимального давления (MIN. PRESSURE VALVE MPV25)    шт  3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  Масляный сепаратор (SERVICE KIT FOR WATER/OIL SEPA-RATOR 120SSK with indicator pack)    шт 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 МАСЛО RIF NDURANCE 5 л., код товара 1630114600  шт  8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 Поршень для золотникового клапана осушителя HDT шт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 Глушитель 1/2", S2112, с фильтром из нержавеющей стали  шт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C. Медицинская станция сжатого воздуха сAIR-8000-QG – 1 шт       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C1. Компрессор медицинский Atlas Сopco GA22 MED-4 шт         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Сервисный набор 4000 Black Edition PN2901353800 в составе: Фильтр масляный – 1 шт., Фильтр воздушный – 1 шт., Фильтр маслосепаратор – 1 шт. шт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Термостат [ THERM.&amp;MPV KIT 8000H STD ] PN 2901353100    шт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Набор разгрузочного клапана C77/80 [UNLOADER KIT ]  шт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Масло RIF NDURANCE 5 л. Код товара 1630114600   шт  12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C2. Установка Atlas Сopco dMED 145 - 2 шт.       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 Фильтр DD170+ Black Edition PN2901300007    шт  2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 Фильтр PD170+ Black Edition PN2901300107    шт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 Глушитель [ SILENCER 1 1/2+-CD-AIQ ] Atlas Copco PN1617616404   шт  2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D. Медицинская вакуумная станция Atlas Сopco mVAC-4950-Q – 1 шт.         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Уплотнение 263 х 168 х 1,5 PN 0481502719    шт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Уплотнение 198 х 188 х 1 PN 0481502721  шт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Прокладка O-ring 22 х 2 FKM 70 PN Z486000505    шт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Масляный фильтр d 93 x 142 PN Z531000001    шт  4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 Выхлопной фильтр d 72 х 375 шт  12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 Масло минеральное для вакуумых насосов Om100, 5л, ISO VG 100 (аналог Busch VM100) PN Z831000059 шт  6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E. Компрессор Atlas Сopco GX7FF EP – 1 шт        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Набор фильтров (Масло, Воздух, Сепаратор) Black Edition PN2901091900    шт 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Ремень [ V BELT XPA LP900 ] Atlas Copco PN0367010059    шт  2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Набор для переборки разгрузочного клапана (KIT SPARES UNLOADER C55 PN2200900961)    шт 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Набор для замены термостата и переборки MPV (THERM.&amp;MPV KITC40 )PN2901109500    шт 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 Дренажный клапан LDI (LDI DRAIN 230V 50-60HZSTR) PN2204213441   шт  1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 Масло RIF NDURANCE 5 л. Код товара 1630114600   шт  2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Требования к применяемым материалам, заменяемым запасным частям, узлам и деталям.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части, ремонтные компл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екты и материалы должны соответствовать требова-ниям, установленным в инструкциях по эксплуатации оборудования заводами изготовителями. Применение иных запасных частей (аналогов), не соответствующих инструкциям по эксплуа-тации оборудования не допускается.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и заменяемые запасные части, узлы и детали должны быть новыми, не вос-становленными, не бывшими ранее в эксплуатации, без брака, готовые к эксплуатации, иметь дату выпуска не ранее 2023 г.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запасных частей и материалов входит в стоимость контракта.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Гарантия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частей.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33.12.29.900  Услуги по ремонту и техническому обслуживанию прочего оборудования специ-ального назначения, не включенные в другие группировки</w:t>
            </w:r>
            <w:r/>
          </w:p>
        </w:tc>
        <w:tc>
          <w:tcPr>
            <w:shd w:val="clear" w:color="auto" w:fill="auto"/>
            <w:tcBorders>
              <w:top w:val="single" w:color="auto" w:sz="5" w:space="0"/>
              <w:bottom w:val="single" w:color="auto" w:sz="5" w:space="0"/>
              <w:right w:val="single" w:color="auto" w:sz="5" w:space="0"/>
            </w:tcBorders>
            <w:tcW w:w="1125" w:type="dxa"/>
            <w:vAlign w:val="top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усл.</w:t>
            </w:r>
            <w:r/>
          </w:p>
        </w:tc>
        <w:tc>
          <w:tcPr>
            <w:shd w:val="clear" w:color="auto" w:fill="auto"/>
            <w:tcBorders>
              <w:top w:val="single" w:color="auto" w:sz="5" w:space="0"/>
              <w:bottom w:val="single" w:color="auto" w:sz="5" w:space="0"/>
              <w:right w:val="single" w:color="auto" w:sz="5" w:space="0"/>
            </w:tcBorders>
            <w:tcW w:w="1275" w:type="dxa"/>
            <w:vAlign w:val="top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5" w:space="0"/>
              <w:bottom w:val="single" w:color="auto" w:sz="5" w:space="0"/>
              <w:right w:val="single" w:color="auto" w:sz="5" w:space="0"/>
            </w:tcBorders>
            <w:tcW w:w="1470" w:type="dxa"/>
            <w:vAlign w:val="top"/>
            <w:textDirection w:val="lrTb"/>
            <w:noWrap w:val="false"/>
          </w:tcPr>
          <w:p>
            <w:pPr>
              <w:jc w:val="center"/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auto" w:sz="5" w:space="0"/>
              <w:bottom w:val="single" w:color="auto" w:sz="5" w:space="0"/>
              <w:right w:val="single" w:color="auto" w:sz="5" w:space="0"/>
            </w:tcBorders>
            <w:tcW w:w="2100" w:type="dxa"/>
            <w:vAlign w:val="top"/>
            <w:textDirection w:val="lrTb"/>
            <w:noWrap w:val="false"/>
          </w:tcPr>
          <w:p>
            <w:pPr>
              <w:jc w:val="center"/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tcW w:w="199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tcW w:w="165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</w:tr>
      <w:tr>
        <w:trPr>
          <w:cantSplit/>
          <w:trHeight w:val="375"/>
        </w:trPr>
        <w:tc>
          <w:tcPr>
            <w:shd w:val="clear" w:color="auto" w:fill="auto"/>
            <w:tcW w:w="94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53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331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12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27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47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10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9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65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0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</w:tr>
      <w:tr>
        <w:trPr>
          <w:cantSplit/>
        </w:trPr>
        <w:tc>
          <w:tcPr>
            <w:gridSpan w:val="10"/>
            <w:shd w:val="clear" w:color="auto" w:fill="auto"/>
            <w:tcW w:w="1831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  <w:r/>
          </w:p>
        </w:tc>
      </w:tr>
      <w:tr>
        <w:trPr>
          <w:cantSplit/>
          <w:trHeight w:val="120"/>
        </w:trPr>
        <w:tc>
          <w:tcPr>
            <w:shd w:val="clear" w:color="auto" w:fill="auto"/>
            <w:tcW w:w="94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53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331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12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27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47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10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9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65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0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</w:tr>
      <w:tr>
        <w:trPr>
          <w:cantSplit/>
        </w:trPr>
        <w:tc>
          <w:tcPr>
            <w:gridSpan w:val="10"/>
            <w:shd w:val="clear" w:color="auto" w:fill="auto"/>
            <w:tcW w:w="18315" w:type="dxa"/>
            <w:vAlign w:val="bottom"/>
            <w:textDirection w:val="lrTb"/>
            <w:noWrap w:val="false"/>
          </w:tcPr>
          <w:p>
            <w:pPr>
              <w:jc w:val="both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  <w:r/>
          </w:p>
        </w:tc>
      </w:tr>
      <w:tr>
        <w:trPr>
          <w:cantSplit/>
          <w:trHeight w:val="120"/>
        </w:trPr>
        <w:tc>
          <w:tcPr>
            <w:shd w:val="clear" w:color="auto" w:fill="auto"/>
            <w:tcW w:w="94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53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331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12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27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47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10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9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65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0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</w:tr>
      <w:tr>
        <w:trPr>
          <w:cantSplit/>
        </w:trPr>
        <w:tc>
          <w:tcPr>
            <w:gridSpan w:val="10"/>
            <w:shd w:val="clear" w:color="auto" w:fill="auto"/>
            <w:tcW w:w="18315" w:type="dxa"/>
            <w:vAlign w:val="bottom"/>
            <w:textDirection w:val="lrTb"/>
            <w:noWrap w:val="false"/>
          </w:tcPr>
          <w:p>
            <w:pPr>
              <w:jc w:val="both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  <w:r/>
          </w:p>
        </w:tc>
      </w:tr>
      <w:tr>
        <w:trPr>
          <w:cantSplit/>
          <w:trHeight w:val="165"/>
        </w:trPr>
        <w:tc>
          <w:tcPr>
            <w:shd w:val="clear" w:color="auto" w:fill="auto"/>
            <w:tcW w:w="94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53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331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12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27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47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10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9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65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0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</w:tr>
      <w:tr>
        <w:trPr>
          <w:cantSplit/>
        </w:trPr>
        <w:tc>
          <w:tcPr>
            <w:gridSpan w:val="10"/>
            <w:shd w:val="clear" w:color="auto" w:fill="auto"/>
            <w:tcW w:w="1831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Предложения принимаются в срок до 28.06.2024 17:00:00 по местному времени. 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94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53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331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12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27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47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10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9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65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0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</w:tr>
      <w:tr>
        <w:trPr>
          <w:cantSplit/>
        </w:trPr>
        <w:tc>
          <w:tcPr>
            <w:gridSpan w:val="10"/>
            <w:shd w:val="clear" w:color="auto" w:fill="auto"/>
            <w:tcW w:w="1831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службы________________________/Алешечкина Е.А./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94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53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331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12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27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47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10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9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65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0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</w:tr>
      <w:tr>
        <w:trPr>
          <w:cantSplit/>
        </w:trPr>
        <w:tc>
          <w:tcPr>
            <w:shd w:val="clear" w:color="auto" w:fill="auto"/>
            <w:tcW w:w="94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53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331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12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27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47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10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9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65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0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</w:tr>
      <w:tr>
        <w:trPr>
          <w:cantSplit/>
        </w:trPr>
        <w:tc>
          <w:tcPr>
            <w:shd w:val="clear" w:color="auto" w:fill="auto"/>
            <w:tcW w:w="94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53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331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12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27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47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210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9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650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  <w:tc>
          <w:tcPr>
            <w:shd w:val="clear" w:color="auto" w:fill="auto"/>
            <w:tcW w:w="190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/>
            <w:r/>
          </w:p>
        </w:tc>
      </w:tr>
      <w:tr>
        <w:trPr>
          <w:cantSplit/>
        </w:trPr>
        <w:tc>
          <w:tcPr>
            <w:gridSpan w:val="10"/>
            <w:shd w:val="clear" w:color="auto" w:fill="auto"/>
            <w:tcW w:w="1831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Исполнитель:</w:t>
            </w:r>
            <w:r/>
          </w:p>
        </w:tc>
      </w:tr>
      <w:tr>
        <w:trPr>
          <w:cantSplit/>
        </w:trPr>
        <w:tc>
          <w:tcPr>
            <w:gridSpan w:val="10"/>
            <w:shd w:val="clear" w:color="auto" w:fill="auto"/>
            <w:tcW w:w="18315" w:type="dxa"/>
            <w:vAlign w:val="bottom"/>
            <w:textDirection w:val="lrTb"/>
            <w:noWrap w:val="false"/>
          </w:tcPr>
          <w:p>
            <w:pPr>
              <w:jc w:val="left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220-02-91</w:t>
            </w:r>
            <w:r/>
          </w:p>
        </w:tc>
      </w:tr>
    </w:tbl>
    <w:sectPr>
      <w:footnotePr/>
      <w:endnotePr/>
      <w:type w:val="nextPage"/>
      <w:pgSz w:w="11907" w:h="16839" w:orient="portrait"/>
      <w:pgMar w:top="567" w:right="567" w:bottom="567" w:left="567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uiPriority w:val="39"/>
    <w:unhideWhenUsed/>
    <w:pPr>
      <w:ind w:left="0" w:right="0" w:firstLine="0"/>
      <w:spacing w:after="57"/>
    </w:pPr>
  </w:style>
  <w:style w:type="paragraph" w:styleId="822">
    <w:name w:val="toc 2"/>
    <w:uiPriority w:val="39"/>
    <w:unhideWhenUsed/>
    <w:pPr>
      <w:ind w:left="283" w:right="0" w:firstLine="0"/>
      <w:spacing w:after="57"/>
    </w:pPr>
  </w:style>
  <w:style w:type="paragraph" w:styleId="823">
    <w:name w:val="toc 3"/>
    <w:uiPriority w:val="39"/>
    <w:unhideWhenUsed/>
    <w:pPr>
      <w:ind w:left="567" w:right="0" w:firstLine="0"/>
      <w:spacing w:after="57"/>
    </w:pPr>
  </w:style>
  <w:style w:type="paragraph" w:styleId="824">
    <w:name w:val="toc 4"/>
    <w:uiPriority w:val="39"/>
    <w:unhideWhenUsed/>
    <w:pPr>
      <w:ind w:left="850" w:right="0" w:firstLine="0"/>
      <w:spacing w:after="57"/>
    </w:pPr>
  </w:style>
  <w:style w:type="paragraph" w:styleId="825">
    <w:name w:val="toc 5"/>
    <w:uiPriority w:val="39"/>
    <w:unhideWhenUsed/>
    <w:pPr>
      <w:ind w:left="1134" w:right="0" w:firstLine="0"/>
      <w:spacing w:after="57"/>
    </w:pPr>
  </w:style>
  <w:style w:type="paragraph" w:styleId="826">
    <w:name w:val="toc 6"/>
    <w:uiPriority w:val="39"/>
    <w:unhideWhenUsed/>
    <w:pPr>
      <w:ind w:left="1417" w:right="0" w:firstLine="0"/>
      <w:spacing w:after="57"/>
    </w:pPr>
  </w:style>
  <w:style w:type="paragraph" w:styleId="827">
    <w:name w:val="toc 7"/>
    <w:uiPriority w:val="39"/>
    <w:unhideWhenUsed/>
    <w:pPr>
      <w:ind w:left="1701" w:right="0" w:firstLine="0"/>
      <w:spacing w:after="57"/>
    </w:pPr>
  </w:style>
  <w:style w:type="paragraph" w:styleId="828">
    <w:name w:val="toc 8"/>
    <w:uiPriority w:val="39"/>
    <w:unhideWhenUsed/>
    <w:pPr>
      <w:ind w:left="1984" w:right="0" w:firstLine="0"/>
      <w:spacing w:after="57"/>
    </w:pPr>
  </w:style>
  <w:style w:type="paragraph" w:styleId="829">
    <w:name w:val="toc 9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uiPriority w:val="99"/>
    <w:unhideWhenUsed/>
    <w:pPr>
      <w:spacing w:after="0" w:afterAutospacing="0"/>
    </w:pPr>
  </w:style>
  <w:style w:type="table" w:styleId="832">
    <w:name w:val="TableStyle0"/>
    <w:pPr>
      <w:spacing w:after="0" w:line="240" w:lineRule="auto"/>
    </w:pPr>
    <w:rPr>
      <w:rFonts w:ascii="Arial" w:hAnsi="Arial"/>
      <w:sz w:val="16"/>
    </w:rPr>
    <w:tblPr/>
  </w:style>
  <w:style w:type="character" w:styleId="833" w:default="1">
    <w:name w:val="Default Paragraph Font"/>
    <w:uiPriority w:val="1"/>
    <w:semiHidden/>
    <w:unhideWhenUsed/>
  </w:style>
  <w:style w:type="numbering" w:styleId="834" w:default="1">
    <w:name w:val="No List"/>
    <w:uiPriority w:val="99"/>
    <w:semiHidden/>
    <w:unhideWhenUsed/>
  </w:style>
  <w:style w:type="paragraph" w:styleId="835" w:default="1">
    <w:name w:val="Normal"/>
    <w:qFormat/>
  </w:style>
  <w:style w:type="table" w:styleId="83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modified xsi:type="dcterms:W3CDTF">2024-06-25T07:25:13Z</dcterms:modified>
</cp:coreProperties>
</file>