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autofit"/>
        <w:tblCellMar>
          <w:left w:w="108" w:type="dxa"/>
          <w:right w:w="108" w:type="dxa"/>
        </w:tblCellMar>
        <w:tblLook w:val="04A0"/>
      </w:tblPr>
      <w:tblGrid>
        <w:gridCol w:w="945"/>
        <w:gridCol w:w="2533"/>
        <w:gridCol w:w="3321"/>
        <w:gridCol w:w="1116"/>
        <w:gridCol w:w="1286"/>
        <w:gridCol w:w="1470"/>
        <w:gridCol w:w="2087"/>
        <w:gridCol w:w="1903"/>
      </w:tblGrid>
      <w:tr>
        <w:trPr>
          <w:trHeight w:val="60" w:hRule="atLeast"/>
        </w:trPr>
        <w:tc>
          <w:tcPr>
            <w:tcW w:w="6799" w:type="dxa"/>
            <w:gridSpan w:val="3"/>
            <w:shd w:val="clear" w:color="FFFFFF"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textDirection w:val="lrTb"/>
            <w:vAlign w:val="bottom"/>
          </w:tcPr>
          <w:p>
            <w:pPr>
              <w:jc w:val="left"/>
              <w:rPr>
                <w:rFonts w:ascii="Times New Roman" w:hAnsi="Times New Roman"/>
                <w:sz w:val="24"/>
                <w:szCs w:val="24"/>
              </w:rPr>
            </w:pPr>
          </w:p>
        </w:tc>
        <w:tc>
          <w:tcPr>
            <w:tcW w:w="2756" w:type="dxa"/>
            <w:gridSpan w:val="2"/>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03.06.2021  г. №.763-2021</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6799" w:type="dxa"/>
            <w:gridSpan w:val="3"/>
            <w:shd w:val="clear" w:color="FFFFFF"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jc w:val="left"/>
              <w:rPr>
                <w:rFonts w:ascii="Times New Roman" w:hAnsi="Times New Roman"/>
                <w:sz w:val="24"/>
                <w:szCs w:val="24"/>
              </w:rPr>
            </w:pPr>
          </w:p>
        </w:tc>
        <w:tc>
          <w:tcPr>
            <w:tcW w:w="2533" w:type="dxa"/>
            <w:shd w:val="clear" w:color="FFFFFF" w:fill="auto"/>
            <w:textDirection w:val="lrTb"/>
            <w:vAlign w:val="bottom"/>
          </w:tcPr>
          <w:p>
            <w:pPr>
              <w:jc w:val="left"/>
              <w:rPr>
                <w:rFonts w:ascii="Times New Roman" w:hAnsi="Times New Roman"/>
                <w:sz w:val="24"/>
                <w:szCs w:val="24"/>
              </w:rPr>
            </w:pPr>
          </w:p>
        </w:tc>
        <w:tc>
          <w:tcPr>
            <w:tcW w:w="3321" w:type="dxa"/>
            <w:shd w:val="clear" w:color="FFFFFF" w:fill="auto"/>
            <w:textDirection w:val="lrTb"/>
            <w:vAlign w:val="bottom"/>
          </w:tcPr>
          <w:p>
            <w:pPr>
              <w:jc w:val="left"/>
              <w:rPr>
                <w:rFonts w:ascii="Times New Roman" w:hAnsi="Times New Roman"/>
                <w:sz w:val="24"/>
                <w:szCs w:val="24"/>
              </w:rPr>
            </w:pPr>
          </w:p>
        </w:tc>
        <w:tc>
          <w:tcPr>
            <w:tcW w:w="1116" w:type="dxa"/>
            <w:shd w:val="clear" w:color="FFFFFF" w:fill="auto"/>
            <w:textDirection w:val="lrTb"/>
            <w:vAlign w:val="bottom"/>
          </w:tcPr>
          <w:p>
            <w:pPr>
              <w:jc w:val="left"/>
              <w:rPr>
                <w:rFonts w:ascii="Times New Roman" w:hAnsi="Times New Roman"/>
                <w:sz w:val="24"/>
                <w:szCs w:val="24"/>
              </w:rPr>
            </w:pPr>
          </w:p>
        </w:tc>
        <w:tc>
          <w:tcPr>
            <w:tcW w:w="1286" w:type="dxa"/>
            <w:shd w:val="clear" w:color="FFFFFF" w:fill="auto"/>
            <w:textDirection w:val="lrTb"/>
            <w:vAlign w:val="bottom"/>
          </w:tcPr>
          <w:p>
            <w:pPr>
              <w:jc w:val="left"/>
              <w:rPr>
                <w:rFonts w:ascii="Times New Roman" w:hAnsi="Times New Roman"/>
                <w:sz w:val="24"/>
                <w:szCs w:val="24"/>
              </w:rPr>
            </w:pPr>
          </w:p>
        </w:tc>
        <w:tc>
          <w:tcPr>
            <w:tcW w:w="1470" w:type="dxa"/>
            <w:shd w:val="clear" w:color="FFFFFF" w:fill="auto"/>
            <w:textDirection w:val="lrTb"/>
            <w:vAlign w:val="bottom"/>
          </w:tcPr>
          <w:p>
            <w:pPr>
              <w:jc w:val="left"/>
              <w:rPr>
                <w:rFonts w:ascii="Times New Roman" w:hAnsi="Times New Roman"/>
                <w:sz w:val="24"/>
                <w:szCs w:val="24"/>
              </w:rPr>
            </w:pPr>
          </w:p>
        </w:tc>
        <w:tc>
          <w:tcPr>
            <w:tcW w:w="2087" w:type="dxa"/>
            <w:shd w:val="clear" w:color="FFFFFF" w:fill="auto"/>
            <w:textDirection w:val="lrTb"/>
            <w:vAlign w:val="bottom"/>
          </w:tcPr>
          <w:p>
            <w:pPr>
              <w:jc w:val="left"/>
              <w:rPr>
                <w:rFonts w:ascii="Times New Roman" w:hAnsi="Times New Roman"/>
                <w:sz w:val="24"/>
                <w:szCs w:val="24"/>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2758" w:type="dxa"/>
            <w:gridSpan w:val="7"/>
            <w:shd w:val="clear" w:color="FFFFFF"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Страна происхождения</w:t>
            </w: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rPr>
                <w:rFonts w:ascii="Times New Roman" w:hAnsi="Times New Roman"/>
                <w:b/>
                <w:sz w:val="24"/>
                <w:szCs w:val="24"/>
              </w:rPr>
            </w:pPr>
            <w:r>
              <w:rPr>
                <w:rFonts w:ascii="Times New Roman" w:hAnsi="Times New Roman"/>
                <w:b/>
                <w:sz w:val="24"/>
                <w:szCs w:val="24"/>
              </w:rPr>
              <w:t>КТРУ</w:t>
            </w: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Маска анестезиологическая, средняя взрослая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Анестезиологическая лицевая маска дыхательного контура для взрослых средняя  одноразовая. Описание: Анестезиологическая маска  (для дыхательного контура,  масочного наркоза, неинвазивной вентиляции легких в т.ч.с системами для ручного искусственного дыхания)  анатомической формы с манжетой предварительного надува,  с крепежным кольцом с четырьмя фиксаторами и с кодировкой зеленого цвета, с системой «холдер», без клапана поддува. Корпус маски полностью прозрачный. Манжета маски обеспечивает герметичное прилегание к лицу пациента. Коннектор 22F. Размер 4. Материал: полипропилен, полиэтилен. Не содержит  латекса (указано производителем на упаковке), в индивидуальной упаковке, клинически чисто, однократного применения. Срок годности: не менее 5 лет от даты производства.</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контроля кровяного давления, 2 преобразователя, без крепежной планки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двумя преобразователями, магистралями высокого давления и двойной инфузионной системой,встроенные кабели с четырехконтактными разъемами, совместимыми с соединительным кабелем типа Комбитранс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контроля кровяного давления с преобразователем одинарный, артериальный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одним преобразователем,магистралью высокого давления и инфузионной системой, встроенный кабель с четырехконтактным разъемом, совместимым с соединительным кабелем типа Комбитранс</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  Соединитель прямой конфигурируемый 22M/15F-22 F.  Длина от 90 до 150 мм. Мертвое пространство 16-25 мл соответственно.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одноразовый для почасового измерения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закрытая стерильная (уриметр) вертикального дизайна -комбинированный уроколлектор с приводной трубкой длиной  110 см и сборным мешком. Емкость уроколлектора до 500 мл, в центре - измерительный цилиндр емкостью до 40 мл с 3 отверстиями на лицевой его части. Двухпросветная неперекручивающаяся трубка с внешней спиралью в месте крепления к измерительной камере.  На дистальном конце приводной трубки - универсальный безыгольный порт для взятия проб мочи и кремальерная клипса. Между приводной трубкой и уроколлектором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16</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Стерильный,Одноразовый,Изготовлен из прозрачного термопластичного ПВХ,Длина зонда: 110 см</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для реанимации СН 18</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Зонд желудочный СН 18, длина 110 см. Внутренний диаметр I.D. 4,5 мм. Внешний диаметр О.D. 6,0 мм.</w:t>
              <w:br/>
              <w:t>
1.  стерильный </w:t>
              <w:br/>
              <w:t>
2.  дистальный конец зонда тщательно обработан и закруглен для обеспечения атравматичной постановки</w:t>
              <w:br/>
              <w:t>
3.  цветовая кодировка воронкообразного коннектора</w:t>
              <w:br/>
              <w:t>
4.  предназначен для одноразового использования</w:t>
              <w:br/>
              <w:t>
5.  изготовлен из прозрачного имплантационно-нетоксичного поливинилхлорида</w:t>
              <w:br/>
              <w:t>
6.  термопластичный материал смягчается под воздействием температуры окружающих тканей</w:t>
              <w:br/>
              <w:t>
7.  общая длина зонда 110 см</w:t>
              <w:br/>
              <w:t>
8.  метки от дистального конца расположены на расстоянии: первая - 46 см; вторая - 56 см; третья - 66 см; четвертая - 76 см (для зонда длиной 110 см)</w:t>
              <w:br/>
              <w:t>
9.  открытый конец, 4 боковых отверстия</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лейкоцитарный для тромбоцитарной массы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трансфузиологическое обеспечение операций на сердце. Лейкоцитарный фильтр с присоединенной системой для фильтрации 4-10 доз тромбоцитарной массы у постели больного в процессе гемотрансфузии.Максимальный объем заполнения фильтра не более 7 мл. Стерильный,в индивидуальной упаковке.</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лейкоцитарный для плазмы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трансфузиологическое обеспечение операций на сердце.Лейкоцитарный фильтр с присоединенной системой для удаления остаточных лейкоцитов из 1,6 л свежезамороженной плазмы в процессе её переливания у постели больного.Максимальный объем заполнения фильтра не более 33 мл. Стерильный,в индивидуальной упаковке.</w:t>
              <w:br/>
              <w:t>
</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лейкоцитарный для эритроцитарной массы</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Функциональное назначение товара - трансфузиологическое обеспечение операций на сердце. Лейкоцитарный фильтр с присоединенной системой для фильтрации остаточных лейкоцитов из двух доз эритровзвеси, эритроцитарной массы у постели больного в процессе гемотрансфузии. Максимальный объем заполнения фильтра не более 35 мл. Стерильный,в индивидуальной упаковке.</w:t>
              <w:br/>
              <w:t>
</w:t>
              <w:br/>
              <w:t>
 </w:t>
              <w:br/>
              <w:t>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артерий 22G/80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периферических артерий по Сельдингеру, для инвазивного измерения гемодинамического давления и взятия проб крови, со встроенной удлинительной линией и специальным гемостатическим клапаном. Катетер из фторэтиленпропилена (тефлона), 22G/0,87 мм длиной не менее 80мм, с гладкой атромбогенной поверхностью, полностью совместим с тканями и кровью, прямой кончик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 к</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Cистема для уроколлекции, изготовленная в режиме "чистых помещений". Состоит из сборного мешка объемом не менее 2000 мл с неперекручивающейся приводной трубкой. Изделие изготовлено из ПВХ. Сборный мешок прямоугольной формы, передняя прозрачная и задняя непрозрачная белая поверхности соединены между собой посредством спайки. Передняя стенка сборного мешка градуирована. Шаг градуировки - 100 мл. В верхней части сборного мешка - 2 укрепленных армированных отверстия для удобной фиксации изделия на раме кровати. Мешок снабжен невозвратным клапаном лепесткового типа в верхней его части, что препятствует ретроградному току мочи. Приводная трубка длиной не менее 90 см и не более 110 см, имеет универсальный коннектор с защитным колпачком для предотвращения контаминации. Крестообразный кран слива расположен по центру нижнего края сборного мешка. Рекомендованное время использования у 1 пациента - до 24 часов.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реанимационный: надгортанный воздуховод с манжетой и дополнительным кислородным портом, аспирационная трубка, лента крепления, р.3</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(малый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лен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р.4</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(средний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реанимационный: надгорт.воздуховод с манжетой и доп.кислород.портом, аспирац.трубка, лента крепления; р.5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Реанимационный набор: надгортанный воздуховод с гелевой нераздувной манжетой и дополнительным кислородным портом (большой для взрослых),  аспирационная трубка, лента крепления. Назначение: обеспечение проходимости дыхательных путей при наркозе и ИВЛ во время операций, а также, при неудавшейся интубации, в экстренных случаях, может использоваться в качестве проводника и т.п., дополнительная подача кислорода. Состав: мягкая гелевая нераздувная манжета; блокатор надгортанника эллипсоидный, предотвращающий складывание надгортанника; широкий воздуховод – ротовой стабилизатор стандартно изогнутый; стандартный коннектор 15 мм; встроенный в воздуховод канал для желудочного зонда, позволяющий устанавливать назогастральный зонд; усиленный зубной коннектор; оснащен удобной маркировкой  для выбора размера в зависимости от веса пациента; имеет индикатор правильной установки; дополнительный кислородный порт, расположенный на проксимальном конце воздуховода, порт снабжен герметизирующим колпачком;  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 Жане одноразовый 150 мл стерильный (без винтовой нарезки)</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Шприцы предназначены для отсасывания различных жидкостей из организма и промывания внутренних полостей. Шприцы по техническим характеристикам соответствуют всем требованиям. Шприцы состоят из - цилиндра, штока и поршня. На внешней стороне цилиндра нанесена шкала градуировки объема 150 мл и имеет расширенную градуировку до 160 мл. Нижняя часть цилиндра снабжена присоединительным конусом для катетерной насадки. На внутренней поверхности цилиндра, в верхней части, цилиндра имеется стопорное кольцо, препятствующее случайному выпадению штока из цилиндра. Уплотнитель поршня выполнен из специальной резины и имеет два кольца контакта с внутренней поверхностью цилиндра, что исключает протекание и обеспечивает плавное скольжение поршня внутри цилиндра. Детали шприцев изготовлены из следующих материалов: цилиндр - из полипропилена, шток - из полиэтилена низкого давления, поршень из специальной резины. На цилиндре имеется маркировка - изделие не содержит латекса. Индивидуальная потребительская упа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Гель для ЭКГ и дефибрилляции 250 мл, электропроводный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Гель электропроводный для ЭКГ и дефибрилляции во флаконах по 250 мл.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флакон</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Помпа эластомерная одноразовая инфузионная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Рабочий объем : не менее 300мл,не более 350 мл.Регулируемая скорость : 4,0:6,0:OFFмл/ч .Максимальное время инфузии не более 3,5 суток.Упаковка индивидуальная :бумага полипропилен. Маркировка: стерильно.только для одноразового применения, не содержит латекса.не содержит DTYH/ Стерелизация:окись этилена . Срок годности 3 года.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Картридж для Анализатора i-STAT1 Analyzer 300-G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Картридж для определения Na, K, iCa, гематокрита, pH, pCO2, pO2, TCO2, HCO3, BE, sO2, гемоглобина и глюкозы;</w:t>
              <w:br/>
              <w:t>
картридж одноразовый, не требует калибровки;</w:t>
              <w:br/>
              <w:t>
картридж содержит набор электродов, калибровочную жидкость, перистальтическую систему и систему утилизации образца;</w:t>
              <w:br/>
              <w:t>
максимальный объем пробы, не более 95 мкл;</w:t>
              <w:br/>
              <w:t>
работа с цельной гепаринизированной или негепаринизированной артериальной, венозной, либо капиллярной кровью;</w:t>
              <w:br/>
              <w:t>
отбор и внесение пробы с помощью обычного шприца или капилляра;</w:t>
              <w:br/>
              <w:t>
время выполнения исследования, не более 2 минут;</w:t>
              <w:br/>
              <w:t>
диапазон температуры хранения картриджа, не уже 2-8 °С;</w:t>
              <w:br/>
              <w:t>
количество картриджей в упаковке, не менее 25 штук;</w:t>
              <w:br/>
              <w:t>
каждый картридж имеет индивидуальную упаковку;</w:t>
              <w:br/>
              <w:t>
документация – регистрационное удостоверение Минздрава России. Срок годности на момент поставки не менее 5 мес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уп</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конфигурируемый, Y-образный тройник, резервный мешок</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Дыхательный контур для взрослых. Состоит из двух гофрированных трубок  диаметром 22 мм длиной 1,5 м, соединенных между собой Y-образным угловым переходником.  Трубки с обеих сторон усилены для предотвращения перегибания. Угловой переходник снабжен портом для проб газа. Укомплектован латексным дыхательным мешком на 3 л.</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артериальная монолитная, армированная, коннектор 3/8", 24 Fr, длина 30.5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Артериальные канюли со скошенным прямым тонокостенным наконечником и коническим цельнолитым, устойчивым к перегибам армированным корпусом. Маркер направления наконечника. Длина 12"(30,5 см), коннектор 3/8 (0,95 см ) . Диаметр 24 Fr. (8.0 мм) .D Р при потоке 6 л\мин менее 40 мм рт ст. </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венозная с коническим прямым наконечником, армированная, под коннектор 1/2", 40 Fr, длина 38.1 см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Армированная одноступенчатая высокопоточная  венозная канюля, 40 Fr (13,3 мм). Цельнолитой устойчивый к перегибам, армированный корпус  из ПВХ заканчивается прямым наконечником с множественными отверстиями. Маркеры глубины введения. Длина 38,1см для коннектора 1/2 ( 1,27см). D Р при потоке 6,0  л\мин, менее 15 мм рт ст</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Электрод медицинский для ЭКГ</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ЭКГ электрод одноразовый, самоклеющийся, длительного использования, взрослый. С контактом, покрытым Ag/AgCl. Назначение: для постоянного, длительного мониторирования ЭКГ у взрослого пациента. Материалы: вспененный полиэтилен с адгезивным слоем, проводящий гидрогель, сенсор – проводящий полимер с покрытием Ag/AgCl, коннектор – медицинская сталь; не содержит латекс. Состав: электрод овально–прямоугольной формы размером 35±2 х 26±2 мм; водостойкая верхняя и высокоадгезивная, гипоаллергенная нижняя поверхности; встроенный в центральную часть электрода прозрачный диск из твердого электролитного гидрогеля диаметром не менее 18 мм (для возможности контроля состояния кожного покрова под электродом) с сенсором, покрытым Ag/AgCl для обеспечения стабильной электропроводимости, с одной стороны и коннектором – кнопкой с другой стороны. Толщина электрода (без учета коннектора) не более 1 мм; общая площадь не более 1282 мм2; площадь адгезивного слоя не менее 1028 мм2 с адгезивной способностью не мене</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Канюля артериальная для проведения пункции артерий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Артериальная канюля BD с переключателем BD Floswitch предназначена для проведения пункции артерий (наиболее часто пунктируется лучевая артерия). Пункция периферической артерии производится с целью исследования газового состава крови и/или проведения инвазивного мониторинга артериального давления.</w:t>
              <w:br/>
              <w:t>
Состоит из:</w:t>
              <w:br/>
              <w:t>
• собственно катетер;</w:t>
              <w:br/>
              <w:t>
• стальная игла проводник;</w:t>
              <w:br/>
              <w:t>
• переключатель потока Floswitch™;</w:t>
              <w:br/>
              <w:t>
• камера обратного тока;</w:t>
              <w:br/>
              <w:t>
• Луер-Лок заглушка;</w:t>
              <w:br/>
              <w:t>
• крылья для фиксации.</w:t>
              <w:br/>
              <w:t>
• защитный колпачок;</w:t>
              <w:br/>
              <w:t>
Свойства:</w:t>
              <w:br/>
              <w:t>
1. Катетер произведен из политетрафторэтилена (PTFE Teflon), который: совместим с биологическими средами, лекарственными препаратами и обладает тромборезистентностью за счет гладких стенок</w:t>
              <w:br/>
              <w:t>
2. Специальная технология производства делает катетер тонкостенным при неприменном сохранении его прочности (нет риска поломки катетера и угрозы эмболии)</w:t>
              <w:br/>
              <w:t>
3.  Игла артериальной канюли имеет специальную заточку в виде углового среза острия обеспечивает атравматичность и легкость проведения пункции.</w:t>
              <w:br/>
              <w:t>
4. Переключатель по</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Помпа эластомерная одноразовая инфузионная</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Помпа микроинфузионная, одноразовая с регуляторами скорости. Непрерывная инфузия с 4 регуляторами скорости 1,2,4,8 мл в час; объем баллонного резервуара 600 мл., скорость потока в диапазоне от 1,0 до 15,0 мл/ч с шагом в 1 мл. Технические характеристики основные: 1. Рабочий объём: 600 мл. 2. Регулируемая скорость: от 1 до 15 мл в час с  шагом регулировки  1 мл (диапазонное значение согласно инструкции производителя). Возможен выбор 4х скоростей от 1 до 15 мл в час (диапазонное значение согласно инструкции производителя). 3. Состоит из резервуара, изготовленного из медицинского силикона, не содержащего латекса и  защитной колбы,  изготовленной из  пластика,  не пропускающего  ультрафиолетовые  лучи. 4. Внутри микроинфузионной помпы  расположена шкала - линейка для удобства контроля объема вводимого вещества с увеличительной линзой и сокращения ошибок вводимых значений. 5. Скорость потока откалибрована за счёт подбора эластомера и стеклянного микро-капилляра высокой точности,  расположенн</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Готовый к использованию стерильный набор расходных материалов для катетеризации центральных вен, уложенных в порядке, необходимом для проведения процедуры . Состав: одноразовое покрытие для инструментального столика из двухслойного материала: верхний слой – впитывающий слой полипропилен (спанбонд);  нижний – из водоотталкивающего материала - зеленая полиэтиленовая пленка размером не менее 75 х 90 см, - .1 шт.; полотенце для рук из рельефного нетканного материала размер не менее 33 х 33 см - 1 шт; пластиковый зажим  - 1 шт; круглые тампоны их нетканного материала (вискозного волокна и полиэфира) размером со сливу - 5 шт; из двухслойного материала верхний слой – из впитывающий слой полипропилен (спанбонд) простыня с круглым отверстием диаметром 10 см из двухслойного материала: нижний – из водоотталкивающего материала - зеленая полиэтиленовая пленка размером не менее 75 х 90 см, - .1 шт.; игла атравматичная для локальной анестезии 22G - 1 шт., игла атравматичная - 1 шт; шприц без иглы 10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проведения аутотрансфузии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Предназначен для сбора крови при оперативном вмешательстве, ее антикоагуляции,  предварительной фильтрации и обработки с целью получения отмытых эритроцитов для реинфузии. Соединитель для резервуара крови ступенчатый / конусный. Мешок для обратного вливания с двумя портами игла / луер 1000 мл. Соединители мешка солевого раствора-иглы наличие. Соединения типа луерного замка с крышками. Мешок для отходов 10 литров. Промывочная камера наличие. Трубопровод центрифуги наличие. Адаптер центрифуги 1 шт. Адаптер насоса 1 шт. Аспирационная линия. Двухпросветная аспирационная линия длина линии 3,75 м. Магистраль для аутотрансфузии совместима с аппаратом реинфузии крови CATS Fresenius имеющимся у заказчика. Переходник для уменьшения гемолиза и предотвращения закупорки. Спайк игла для подсоединения антикоагулянта наличие. Резервуар для сбора. Защитный клапан наличие. Дополнительный комплект колпачков  наличие. Объем 3000 мл. Фильтр 120 микрон. Единая картонная упаковка.местимая с аппаратом реинфуз</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продленной эпидуральной анестезии 18G 120 мм/20G,фильтр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эпидуральной анестезии/аналгезии. Используемые материалы: Полиэтилен, полихлорвинил, полистирол, катетер из полиамида, полипропилен, бутадиенстирол, нержавеющая сталь. Характеристики фильтра: Диаметр пор 0,2 мкм, резистентность к давлению до 4 бар (2944 mmHg). Состав: Эпидуральная игла типа Туохи  18G/1.30, длина 120 мм, мандрен с указателем положения среза иглы; Двухслойный катетер: основа из полиамида, наружная оболочка из термоэластичного гидрофильного полиуретана. Три встроенные в материал Rg-контрастные полоски, длина катетера 1000 мм; конусообразный атравматичный наконечник с шестью отверстиями. Антибактериальный фильтр 0.2 мкм; Фиксатор эпидурального фильтра; Адаптер Снэп лок для соединения катетера с фильтром; Шприц Люэр для методики «потери сопротивления» 8 мл, специальная градуировка для верификации типа шприца, не содержит латекс.</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7,5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7.5 мм, внешний диаметр 10.0 мм, диаметр манжеты 26 мм, длина трубки без коннектора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размер 8,0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из термопластичного ПВХ для назальной и оральной интубации, силиконизирована, не содержит латекса. Манжетка низкого давления, голубой пилот-баллон, клапан для шприцев Люэр и Люэр Лок, Ро-маркер по всей длине трубки, черный индикатор интубации по всей окружности трубки, разметка c шагом 1 см, закругленный атравматический наконечник тип Mерфи, наполовину вставленный коннектор. Наполовину вставленный коннектор. Внутренний диаметр 8.0 мм, внешний диаметр 10.7 мм, диаметр манжеты 26 мм, длина трубки без коннектора - 335±5 мм.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8,0</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8.0 мм, внешний диаметр 10.7 мм, диаметр манжеты 26.0 мм. Длина без коннектора 340±2 см.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Трубка эндотрахеальная с манжетой и стилетом, размер 7,5</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Эндотрахеальная трубка для назальной и оральной интубации с внутренним стилетом, силиконизирована, не содержит латекса. Манжетка низкого давления, голубой пилот-баллон, клапан для шприцев Люэр и Люэр Лок, Rо-маркер по всей длине трубки, черный индикатор интубации по всей окружности трубки, разметка c шагом 1 см, закругленный атравматический наконечник тип Мёрфи. Внутренний диаметр 7.5 мм, внешний диаметр 10.0 мм, диаметр манжеты 26.0 мм. Длина без коннектора 330±5 мм. Внутренний стилет для интубации, гибкий металлический с пластиковым покрытием, ручка изогнута. Размер СH 14, диаметр стилета 4.6 мм. Длина 35±2 см. Стерильная индивидуальная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Контур дыхательный, линия вдоха и выдоха, линия увлажнителя, 2 влагосборника, тройник, крепление контура, длина 1,8 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Дыхательный контур для использования с аппаратом ИВЛ. Изготовлен из прозрачного, армированного с внешней стороны ПВХ, устойчивого к перегибу, гладкой внутренней поверхностью, диаметром 22 мм длиной 180 см, встроенные в контур 2 влагосборника с автоматическим клапаном предотвращающим разгерметизацию, тройник-коннектор с портом контроля давления газов в контуре и портом для термометра, заглушки портов, гибкие коннекторы-манжеты со стороны аппарата с разъемом 22F, линия увлажнителя длиной 60 см с гибкими коннекторами- манжетами с разъемом 22F с обеих сторон, угловой коннектор, коннекторы подсоединения 22/15мм, крепление контура. Клинически чистая упаковка.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дыхательный гидрофобный бактериальновирусный с СО2-портом, прямой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Бактериальновирусный фильтр - электростатический, двухстороннего действия, фильтрирующая мембрана площадью не менее 19,25 см2, с эффективностью фильтрации бактерий &gt; 99,99%, вирусов &gt; 99,99%, мертвым пространством фильтра не более 26 мл, сопротивлением не более 1,6 см Н2О при 60л/мин, для дыхательного объема 150-1000 мл. Время эффективной фильтрации не менее 24 часа. Вес не более 22 грамм. Коннекторы 15M/22F-22M/15F. Прозрачный корпус, наличие дополнительного порта для измерения СО2. Стерильная  индивидуальная упаковка.</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125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 дыхательный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Бактериальновирусный фильтр – электростатический, с эффективностью фильтрации бактерий &gt; 99,99%, вирусов &gt; 99,99%, влагоотдачи пациенту не менее 30 мг. Н2О/л при Vt 1000 мл, потери влаги не более 7мг Н2О/л при Vt 1000мл, мертвое пространство фильтра не более 35 мл, сопротивлением не более 1,8 см Н2О при 60 л/мин, для дыхательного объема 150-1000 мл. Вес фильтра не более 31 грамма. Коннекторы 15M/22F-22M/15F. Фильтрующая мембрана гидрофобная, электростатическая гофрированная, площадью не менее 19.5 см2. Тепловлагосберегающий элемент спиралевидный, площадью не менее 1400 см2. Время эффективной фильтрации не менее 24 часа. Прозрачный корпус, наличие дополнительного порта для измерения СО2. Стерильная  индивидуальная упаковка.</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14 двухходовый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Фоллея 2-х ходовый СН 14.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16 двухходовый </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Фолея 2-х ходовый СН 16.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уретральный Фолея СН 18 двухходовый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Катетер уретральний Фолея 2-х ходовый СН 18. Изготолен из сплава силикона и латекса, ярко желтого цвета, выделяющего силикон на всем протяжении использования и препятствующий соприкосновению стенок уретры с материалом катетера, имеет атравматический закругленный кончик и 2 овальных отверстия. Баллон не менее 30 мл. Длина катетера 38-40 см. Стерильная упаковка. Цветовая маркировка соотвествующая международному стандарту размеров.</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ц/вен Цертофикс Протект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Игла: тип SB; G 18, 16; длинна мм 70, 50. Проводник: мм*см: 0,89 x 50. Катетер: French 12; мм 4,0; длина см 20; Каналы G 16/18/18/18/12. Цертофикс Кватро/Квинто — наборы с многоканальными центральными венозными катетерами для постановки по Сельдингеру: - катетер из полиуретана марки Цертон с мягким кончиком; — непрозрачный, Rg-контрастный, с маркировкой по длине и фиксирующими крыльями; — цветовая кодировка соединителей; — безыгольные коннекторы Сэйфсайт; — передвижные регулируемые крылья для фиксации катетера; проводник с гибким J-образным кончиком; изгибоустойчивый проводник (включен во все наборы с V-канюлей) шприц Омнификс 5 мл с соединением Люэр лок (входит в состав V-наборов) дилататор, скальпель, соединительный ЭКГ-кабель, передвижной фиксирующий зажим.</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артерий 22G/80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Наборы для катетеризации периферических артерий по Сельдингеру для инвазивного измерения гемодинамического давления и взятия проб крови.</w:t>
              <w:br/>
              <w:t>
Катетер: диаметр, мм; длина, мм 0,87; 80 </w:t>
              <w:br/>
              <w:t>
Игла: диаметр, G, мм; длина, мм 22; 0,80 × 50 </w:t>
              <w:br/>
              <w:t>
Проводник: длина, см - диаметр, дюйм 35 - 0,021 </w:t>
              <w:br/>
              <w:t>
Катетер</w:t>
              <w:br/>
              <w:t>
— из фторэтиленпропилена (тефлона)</w:t>
              <w:br/>
              <w:t>
— полностью совместим с тканями и кровью</w:t>
              <w:br/>
              <w:t>
— гладкая атромбогенная поверхность</w:t>
              <w:br/>
              <w:t>
— особая форма кончика облегчает введение катетера</w:t>
              <w:br/>
              <w:t>
— хорошее скольжение при установке</w:t>
              <w:br/>
              <w:t>
• Фиксирующие крылья</w:t>
              <w:br/>
              <w:t>
— из полиуретана</w:t>
              <w:br/>
              <w:t>
— мягкие крылья легко прилегают к коже</w:t>
              <w:br/>
              <w:t>
— три отверстия для подшивания</w:t>
              <w:br/>
              <w:t>
• Удлинительная линия</w:t>
              <w:br/>
              <w:t>
— линия из полиуретана длиной 7 см</w:t>
              <w:br/>
              <w:t>
— позволяет подсоединить шприц или линию для измерения</w:t>
              <w:br/>
              <w:t>
давления</w:t>
              <w:br/>
              <w:t>
на удалении от места пункции</w:t>
              <w:br/>
              <w:t>
— уменьшает вероятность деформации катетера в месте пункции</w:t>
              <w:br/>
              <w:t>
при проведении манипуляций</w:t>
              <w:br/>
              <w:t>
• Гемостатический клапан</w:t>
              <w:br/>
              <w:t>
— открывается автоматически при подсоединении линии высокого</w:t>
              <w:br/>
              <w:t>
давления и закрывается при ее отсоединении</w:t>
              <w:br/>
              <w:t>
— высокая герметичность клапана предупреждает</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41</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Фильтр-канюля 0.45 µм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Двухканальная закрытая фильтр-система для безыгольного многократного забора жидких медикаментов с поддержкой стерильности. Состав: двухканальный наконечник для прокола пробки флакона; защитная пластина с фильтром; соединитель Луэр лок; защитная крышка Снэп Лок. Фильтр воздушного канала - диаметр пор 0.45 микрон.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42</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с двухканальным ЦВК 7Fr/16G-16G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с двуканальным катетером. Назначение: катетеризация вен по Сельдингеру для инфузии и измерения ЦВД. Материал катетера: термолабильный, антитромбогенный, Rg- контрастный полиуретан. Состав набора: двухканальный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 (2,4 мм), длина катетера 19±1 см, каналы дистальный 16G (скорость потока не менее 45 мл/мин), проксимальный 16G (скорость потока  не менее 40 мл/мин). Пункционная игла тонкостенная, с овальным срезом 1,3 х 70 мм, профилированный прозрачный павильон, Люэр Лок. Дилататор пластиковый, цельнолитой. Проводник металлический гибкий с маркировкой по длине, с J-образным кончиком, в круглом футляре с направителем и пальцевым упором. Неподвижные крылья с отверстиями, прозрачные удлинительные линии с коннекторами Люэр Лок. Передвигаемые и фиксируемые крылышки с 2-мя отверстиями для фиксации лигатурой.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43</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ц/вен Цертофикс Протект</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центральных вен по Сельдингеру для длительной инфузии и мониторинга  с покрытым антибактериальной защитой трехканальным катетером.  Материал катетера: термолабильный, атромбогенный, Rg- контрастный полиуретан с антибактериальным атромбогенными покрытием из полигексанида. Требование к покрытию катетера: антибактериальное атромбогенное покрытие необратимо связано с катетером и не смывается  поверхности катетер покрыт по всей длине снаружи и изнутри. Состав набора: Трехканальный катетер с несмываемой разметкой в см, мягким скругленным кончиком и соединителем Люэр лок, маркировкой каналов и зажимами. Наружный диаметр катетера 7F/2.4 мм, длина катетера 20 см, каналы: дистальный 16G (поток – 35 мл/мин), медиальный 18G (22 мл/мин), проксимальный 18G (поток 24 мл/мин). Пункционная клапанная V-канюля тонкостенная, с овальным срезом 1,3 х 70 мм, профилированный прозрачный павильон, Люэр лок, боковой порт с клапаном для проводника. Дилататоры пластиковые, цельнолитые. Изги</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70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44</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артерий 20G/80 мм</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катетеризации периферических артерий по Сельдингеру, для инвазивного измерения гемодинамического давления и взятия проб крови, со встроенной удлинительной линией и специальным гемостатическим клапаном. Катетер из фторэтиленпропилена (тефлона), 20G/1,08 мм длиной 80мм, с гладкой атромбогенной поверхностью, полностью совместим с тканями и кровью, особая форма кончика облегчает введение катетера и обеспечивает хорошее скольжение при установке. Фиксирующие крылья - мягкие крылья из полиуретана легко прилегают к коже, имеют три отверстия для подшивания. Удлинительная линия, из полиуретана длиной 7см, позволяет подсоединить шприц или линию для измерения давления на удалении от места пункции, что уменьшает вероятность деформации катетера в месте пункции при проведении манипуляций. Гемостатический клапан не влияет на результаты измерения артериального давления, открывается автоматически при подсоединении линии высокого давления и закрывается при ее отсоединении, высокая герметичность</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45</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продленной эпидуральной анестезии, 18G/20G, фильтр</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Набор для эпидуральной анестезии. Характеристики фильтра: Диаметр пор 0,2 мкм, резистентность к давлению до 4 бар (2944 mmHg). Состав: Эпидуральная игла типа Туохи  18G/1.30, длина 80 мм, мандрен с указателем положе-ния среза иглы; Катетер из полиамида с установленным направителем, 20G, длина 1000 мм; Антибактериальный фильтр 0.2 мкм; Адаптер Снэп лок для соединения катетера с фильтром; Шприц для методики «потери сопротивле-ния» 8 мл, специальная градуировка для верификации типа шприца, не содержит латекс; Самоклеящийся фиксатор эпидурального фильтра.</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85</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46</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18G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45 мм, скорость потока не менее 96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внутривенного доступа с защитой от укола 18G</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Система «катетер на игле» для пункции периферических вен с защитой от укола иглой. Состав: катетер прозрачный, с четырьмя R-контрастными полосками, скругленным кончиком, совпадающим с проксимальным срезом иглы; павильон Луер Лок с перфорированными крыльями; инъекционный порт Луер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Луер Лок на гидрофобной заглушке. Нержавеющая сталь, полипропилен, мембрана Супор, полиэтилен ВД, катетер – ПУР – полиуретан. Защитная клипса, полностью закрывающая кончик иглы, активируется автоматически при извлечении иглы из катетера, без внешнего воздействия. Размер 18G - 1.3 мм, длина 33 мм, скорость потока не менее 103 мл/мин.</w:t>
              <w:br/>
              <w:t>
</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48</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прикроватный 2 л, одноразовый</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Мочеприемник прикроватный в наборе, мешок 2 л, трубка 90 см, одноразовый</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49</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к контуру дыхательному, прямой  конфигурируемый  22M/15F-22 F</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Соединитель для дыхательного контура - кислородный патрубок для ингаляций кислорода через маску/эндотрахеальную, трахеостомическую трубку. Соединитель 22М/15F-6мм, прямой жёсткий, с герметизирующей кромкой на стороне 22М (под шланг 22F), с противоскользящим напылением на внешней поверхности, с рёбрами (4шт) жесткости для придания устойчивости внутреннему соединению 15F, с стыковочным силовым фланцем с пальцевыми упорами. Соединение 6мм - конусный патрубок длиной 23 мм, с герметизирующим ложем под соединение Sure Lock. Материал: полипропилен. Упаковка: индивидуальная, клинически чистая.</w:t>
              <w:br/>
              <w:t>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60" w:hRule="atLeast"/>
        </w:trPr>
        <w:tc>
          <w:tcPr>
            <w:tcW w:w="945" w:type="dxa"/>
            <w:tcBorders>
              <w:top w:val="single" w:sz="5" w:space="0" w:color="auto"/>
              <w:left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Сенсор BIS Quatro одноразовый для взрослых к монитору глубины наркоза</w:t>
            </w:r>
          </w:p>
        </w:tc>
        <w:tc>
          <w:tcPr>
            <w:tcW w:w="3321"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Одноразовый сенсор для BIS-модулей и BIS-мониторов, A-1000, A-2000 XP и BIS Vista. Взрослый. Легко установливается на пациентах с разными размерами головы. Новая технология изготовления датчиков обеспечивает лучшее качество ЭЭГ. Датчик над глазом пациента позволяет устранять артефакты. </w:t>
            </w:r>
          </w:p>
        </w:tc>
        <w:tc>
          <w:tcPr>
            <w:tcW w:w="111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extDirection w:val="lrTb"/>
            <w:vAlign w:val="top"/>
          </w:tcPr>
          <w:p>
            <w:pPr>
              <w:wordWrap w:val="1"/>
              <w:jc w:val="center"/>
              <w:rPr>
                <w:rFonts w:ascii="Times New Roman" w:hAnsi="Times New Roman"/>
                <w:sz w:val="24"/>
                <w:szCs w:val="24"/>
              </w:rPr>
            </w:pPr>
          </w:p>
        </w:tc>
        <w:tc>
          <w:tcPr>
            <w:tcW w:w="1903" w:type="dxa"/>
            <w:tcBorders>
              <w:top w:val="single" w:sz="5" w:space="0" w:color="auto"/>
              <w:left w:val="single" w:sz="5" w:space="0" w:color="auto"/>
              <w:bottom w:val="single" w:sz="5" w:space="0" w:color="auto"/>
              <w:right w:val="single" w:sz="5" w:space="0" w:color="auto"/>
            </w:tcBorders>
            <w:shd w:val="clear" w:color="FFFFFF" w:fill="auto"/>
            <w:textDirection w:val="lrTb"/>
            <w:vAlign w:val="bottom"/>
          </w:tcPr>
          <w:p>
            <w:pPr>
              <w:jc w:val="left"/>
              <w:rPr>
                <w:rFonts w:ascii="Arial" w:hAnsi="Arial"/>
                <w:sz w:val="16"/>
                <w:szCs w:val="16"/>
              </w:rPr>
            </w:pPr>
          </w:p>
        </w:tc>
      </w:tr>
      <w:tr>
        <w:trPr>
          <w:trHeight w:val="375"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по 31 декабря 2022 года, по заявке Заказчика.</w:t>
            </w:r>
          </w:p>
        </w:tc>
      </w:tr>
      <w:tr>
        <w:trPr>
          <w:trHeight w:val="12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atLeast"/>
        </w:trPr>
        <w:tc>
          <w:tcPr>
            <w:tcW w:w="945" w:type="dxa"/>
            <w:shd w:val="clear" w:color="FFFFFF" w:fill="auto"/>
            <w:textDirection w:val="lrTb"/>
            <w:vAlign w:val="bottom"/>
          </w:tcPr>
          <w:p>
            <w:pPr>
              <w:wordWrap w:val="1"/>
              <w:jc w:val="left"/>
              <w:rPr>
                <w:rFonts w:ascii="Times New Roman" w:hAnsi="Times New Roman"/>
                <w:sz w:val="28"/>
                <w:szCs w:val="28"/>
              </w:rPr>
            </w:pPr>
          </w:p>
        </w:tc>
        <w:tc>
          <w:tcPr>
            <w:tcW w:w="2533" w:type="dxa"/>
            <w:shd w:val="clear" w:color="FFFFFF" w:fill="auto"/>
            <w:textDirection w:val="lrTb"/>
            <w:vAlign w:val="bottom"/>
          </w:tcPr>
          <w:p>
            <w:pPr>
              <w:wordWrap w:val="1"/>
              <w:jc w:val="left"/>
              <w:rPr>
                <w:rFonts w:ascii="Times New Roman" w:hAnsi="Times New Roman"/>
                <w:sz w:val="28"/>
                <w:szCs w:val="28"/>
              </w:rPr>
            </w:pPr>
          </w:p>
        </w:tc>
        <w:tc>
          <w:tcPr>
            <w:tcW w:w="3321" w:type="dxa"/>
            <w:shd w:val="clear" w:color="FFFFFF" w:fill="auto"/>
            <w:textDirection w:val="lrTb"/>
            <w:vAlign w:val="bottom"/>
          </w:tcPr>
          <w:p>
            <w:pPr>
              <w:wordWrap w:val="1"/>
              <w:jc w:val="left"/>
              <w:rPr>
                <w:rFonts w:ascii="Times New Roman" w:hAnsi="Times New Roman"/>
                <w:sz w:val="28"/>
                <w:szCs w:val="28"/>
              </w:rPr>
            </w:pPr>
          </w:p>
        </w:tc>
        <w:tc>
          <w:tcPr>
            <w:tcW w:w="1116" w:type="dxa"/>
            <w:shd w:val="clear" w:color="FFFFFF" w:fill="auto"/>
            <w:textDirection w:val="lrTb"/>
            <w:vAlign w:val="bottom"/>
          </w:tcPr>
          <w:p>
            <w:pPr>
              <w:wordWrap w:val="1"/>
              <w:jc w:val="left"/>
              <w:rPr>
                <w:rFonts w:ascii="Times New Roman" w:hAnsi="Times New Roman"/>
                <w:sz w:val="28"/>
                <w:szCs w:val="28"/>
              </w:rPr>
            </w:pPr>
          </w:p>
        </w:tc>
        <w:tc>
          <w:tcPr>
            <w:tcW w:w="1286" w:type="dxa"/>
            <w:shd w:val="clear" w:color="FFFFFF" w:fill="auto"/>
            <w:textDirection w:val="lrTb"/>
            <w:vAlign w:val="bottom"/>
          </w:tcPr>
          <w:p>
            <w:pPr>
              <w:wordWrap w:val="1"/>
              <w:jc w:val="left"/>
              <w:rPr>
                <w:rFonts w:ascii="Times New Roman" w:hAnsi="Times New Roman"/>
                <w:sz w:val="28"/>
                <w:szCs w:val="28"/>
              </w:rPr>
            </w:pPr>
          </w:p>
        </w:tc>
        <w:tc>
          <w:tcPr>
            <w:tcW w:w="1470" w:type="dxa"/>
            <w:shd w:val="clear" w:color="FFFFFF" w:fill="auto"/>
            <w:textDirection w:val="lrTb"/>
            <w:vAlign w:val="bottom"/>
          </w:tcPr>
          <w:p>
            <w:pPr>
              <w:wordWrap w:val="1"/>
              <w:jc w:val="left"/>
              <w:rPr>
                <w:rFonts w:ascii="Times New Roman" w:hAnsi="Times New Roman"/>
                <w:sz w:val="28"/>
                <w:szCs w:val="28"/>
              </w:rPr>
            </w:pPr>
          </w:p>
        </w:tc>
        <w:tc>
          <w:tcPr>
            <w:tcW w:w="2087" w:type="dxa"/>
            <w:shd w:val="clear" w:color="FFFFFF" w:fill="auto"/>
            <w:textDirection w:val="lrTb"/>
            <w:vAlign w:val="bottom"/>
          </w:tcPr>
          <w:p>
            <w:pPr>
              <w:wordWrap w:val="1"/>
              <w:jc w:val="left"/>
              <w:rPr>
                <w:rFonts w:ascii="Times New Roman" w:hAnsi="Times New Roman"/>
                <w:sz w:val="28"/>
                <w:szCs w:val="28"/>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atLeast"/>
        </w:trPr>
        <w:tc>
          <w:tcPr>
            <w:tcW w:w="945" w:type="dxa"/>
            <w:shd w:val="clear" w:color="FFFFFF" w:fill="auto"/>
            <w:textDirection w:val="lrTb"/>
            <w:vAlign w:val="bottom"/>
          </w:tcPr>
          <w:p>
            <w:pPr>
              <w:jc w:val="left"/>
              <w:rPr>
                <w:rFonts w:ascii="Arial" w:hAnsi="Arial"/>
                <w:sz w:val="16"/>
                <w:szCs w:val="16"/>
              </w:rPr>
            </w:pPr>
          </w:p>
        </w:tc>
        <w:tc>
          <w:tcPr>
            <w:tcW w:w="2533" w:type="dxa"/>
            <w:shd w:val="clear" w:color="FFFFFF" w:fill="auto"/>
            <w:textDirection w:val="lrTb"/>
            <w:vAlign w:val="bottom"/>
          </w:tcPr>
          <w:p>
            <w:pPr>
              <w:jc w:val="left"/>
              <w:rPr>
                <w:rFonts w:ascii="Arial" w:hAnsi="Arial"/>
                <w:sz w:val="16"/>
                <w:szCs w:val="16"/>
              </w:rPr>
            </w:pPr>
          </w:p>
        </w:tc>
        <w:tc>
          <w:tcPr>
            <w:tcW w:w="3321" w:type="dxa"/>
            <w:shd w:val="clear" w:color="FFFFFF" w:fill="auto"/>
            <w:textDirection w:val="lrTb"/>
            <w:vAlign w:val="bottom"/>
          </w:tcPr>
          <w:p>
            <w:pPr>
              <w:jc w:val="left"/>
              <w:rPr>
                <w:rFonts w:ascii="Arial" w:hAnsi="Arial"/>
                <w:sz w:val="16"/>
                <w:szCs w:val="16"/>
              </w:rPr>
            </w:pPr>
          </w:p>
        </w:tc>
        <w:tc>
          <w:tcPr>
            <w:tcW w:w="1116" w:type="dxa"/>
            <w:shd w:val="clear" w:color="FFFFFF" w:fill="auto"/>
            <w:textDirection w:val="lrTb"/>
            <w:vAlign w:val="bottom"/>
          </w:tcPr>
          <w:p>
            <w:pPr>
              <w:jc w:val="left"/>
              <w:rPr>
                <w:rFonts w:ascii="Arial" w:hAnsi="Arial"/>
                <w:sz w:val="16"/>
                <w:szCs w:val="16"/>
              </w:rPr>
            </w:pPr>
          </w:p>
        </w:tc>
        <w:tc>
          <w:tcPr>
            <w:tcW w:w="1286" w:type="dxa"/>
            <w:shd w:val="clear" w:color="FFFFFF" w:fill="auto"/>
            <w:textDirection w:val="lrTb"/>
            <w:vAlign w:val="bottom"/>
          </w:tcPr>
          <w:p>
            <w:pPr>
              <w:jc w:val="left"/>
              <w:rPr>
                <w:rFonts w:ascii="Arial" w:hAnsi="Arial"/>
                <w:sz w:val="16"/>
                <w:szCs w:val="16"/>
              </w:rPr>
            </w:pPr>
          </w:p>
        </w:tc>
        <w:tc>
          <w:tcPr>
            <w:tcW w:w="1470" w:type="dxa"/>
            <w:shd w:val="clear" w:color="FFFFFF" w:fill="auto"/>
            <w:textDirection w:val="lrTb"/>
            <w:vAlign w:val="bottom"/>
          </w:tcPr>
          <w:p>
            <w:pPr>
              <w:jc w:val="left"/>
              <w:rPr>
                <w:rFonts w:ascii="Arial" w:hAnsi="Arial"/>
                <w:sz w:val="16"/>
                <w:szCs w:val="16"/>
              </w:rPr>
            </w:pPr>
          </w:p>
        </w:tc>
        <w:tc>
          <w:tcPr>
            <w:tcW w:w="2087" w:type="dxa"/>
            <w:shd w:val="clear" w:color="FFFFFF" w:fill="auto"/>
            <w:textDirection w:val="lrTb"/>
            <w:vAlign w:val="bottom"/>
          </w:tcPr>
          <w:p>
            <w:pPr>
              <w:jc w:val="left"/>
              <w:rPr>
                <w:rFonts w:ascii="Arial" w:hAnsi="Arial"/>
                <w:sz w:val="16"/>
                <w:szCs w:val="16"/>
              </w:rPr>
            </w:pPr>
          </w:p>
        </w:tc>
        <w:tc>
          <w:tcPr>
            <w:tcW w:w="1903" w:type="dxa"/>
            <w:shd w:val="clear" w:color="FFFFFF" w:fill="auto"/>
            <w:textDirection w:val="lrTb"/>
            <w:vAlign w:val="bottom"/>
          </w:tcPr>
          <w:p>
            <w:pPr>
              <w:jc w:val="left"/>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07.06.2021 17:00:00 по местному времени. </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945" w:type="dxa"/>
            <w:shd w:val="clear" w:color="FFFFFF" w:fill="auto"/>
            <w:textDirection w:val="lrTb"/>
            <w:vAlign w:val="bottom"/>
          </w:tcPr>
          <w:p>
            <w:pPr>
              <w:rPr>
                <w:rFonts w:ascii="Arial" w:hAnsi="Arial"/>
                <w:sz w:val="16"/>
                <w:szCs w:val="16"/>
              </w:rPr>
            </w:pPr>
          </w:p>
        </w:tc>
        <w:tc>
          <w:tcPr>
            <w:tcW w:w="2533" w:type="dxa"/>
            <w:shd w:val="clear" w:color="FFFFFF" w:fill="auto"/>
            <w:textDirection w:val="lrTb"/>
            <w:vAlign w:val="bottom"/>
          </w:tcPr>
          <w:p>
            <w:pPr>
              <w:rPr>
                <w:rFonts w:ascii="Arial" w:hAnsi="Arial"/>
                <w:sz w:val="16"/>
                <w:szCs w:val="16"/>
              </w:rPr>
            </w:pPr>
          </w:p>
        </w:tc>
        <w:tc>
          <w:tcPr>
            <w:tcW w:w="3321" w:type="dxa"/>
            <w:shd w:val="clear" w:color="FFFFFF" w:fill="auto"/>
            <w:textDirection w:val="lrTb"/>
            <w:vAlign w:val="bottom"/>
          </w:tcPr>
          <w:p>
            <w:pPr>
              <w:rPr>
                <w:rFonts w:ascii="Arial" w:hAnsi="Arial"/>
                <w:sz w:val="16"/>
                <w:szCs w:val="16"/>
              </w:rPr>
            </w:pPr>
          </w:p>
        </w:tc>
        <w:tc>
          <w:tcPr>
            <w:tcW w:w="1116" w:type="dxa"/>
            <w:shd w:val="clear" w:color="FFFFFF" w:fill="auto"/>
            <w:textDirection w:val="lrTb"/>
            <w:vAlign w:val="bottom"/>
          </w:tcPr>
          <w:p>
            <w:pPr>
              <w:rPr>
                <w:rFonts w:ascii="Arial" w:hAnsi="Arial"/>
                <w:sz w:val="16"/>
                <w:szCs w:val="16"/>
              </w:rPr>
            </w:pPr>
          </w:p>
        </w:tc>
        <w:tc>
          <w:tcPr>
            <w:tcW w:w="1286" w:type="dxa"/>
            <w:shd w:val="clear" w:color="FFFFFF" w:fill="auto"/>
            <w:textDirection w:val="lrTb"/>
            <w:vAlign w:val="bottom"/>
          </w:tcPr>
          <w:p>
            <w:pPr>
              <w:rPr>
                <w:rFonts w:ascii="Arial" w:hAnsi="Arial"/>
                <w:sz w:val="16"/>
                <w:szCs w:val="16"/>
              </w:rPr>
            </w:pPr>
          </w:p>
        </w:tc>
        <w:tc>
          <w:tcPr>
            <w:tcW w:w="1470" w:type="dxa"/>
            <w:shd w:val="clear" w:color="FFFFFF" w:fill="auto"/>
            <w:textDirection w:val="lrTb"/>
            <w:vAlign w:val="bottom"/>
          </w:tcPr>
          <w:p>
            <w:pPr>
              <w:rPr>
                <w:rFonts w:ascii="Arial" w:hAnsi="Arial"/>
                <w:sz w:val="16"/>
                <w:szCs w:val="16"/>
              </w:rPr>
            </w:pPr>
          </w:p>
        </w:tc>
        <w:tc>
          <w:tcPr>
            <w:tcW w:w="2087" w:type="dxa"/>
            <w:shd w:val="clear" w:color="FFFFFF" w:fill="auto"/>
            <w:textDirection w:val="lrTb"/>
            <w:vAlign w:val="bottom"/>
          </w:tcPr>
          <w:p>
            <w:pPr>
              <w:rPr>
                <w:rFonts w:ascii="Arial" w:hAnsi="Arial"/>
                <w:sz w:val="16"/>
                <w:szCs w:val="16"/>
              </w:rPr>
            </w:pPr>
          </w:p>
        </w:tc>
        <w:tc>
          <w:tcPr>
            <w:tcW w:w="1903" w:type="dxa"/>
            <w:shd w:val="clear" w:color="FFFFFF" w:fill="auto"/>
            <w:textDirection w:val="lrTb"/>
            <w:vAlign w:val="bottom"/>
          </w:tcPr>
          <w:p>
            <w:pPr>
              <w:rPr>
                <w:rFonts w:ascii="Arial" w:hAnsi="Arial"/>
                <w:sz w:val="16"/>
                <w:szCs w:val="16"/>
              </w:rPr>
            </w:pP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60" w:hRule="atLeast"/>
        </w:trPr>
        <w:tc>
          <w:tcPr>
            <w:tcW w:w="14661" w:type="dxa"/>
            <w:gridSpan w:val="8"/>
            <w:shd w:val="clear" w:color="FFFFFF" w:fill="auto"/>
            <w:textDirection w:val="lrTb"/>
            <w:vAlign w:val="bottom"/>
          </w:tcPr>
          <w:p>
            <w:pPr>
              <w:jc w:val="left"/>
              <w:rPr>
                <w:rFonts w:ascii="Times New Roman" w:hAnsi="Times New Roman"/>
                <w:sz w:val="28"/>
                <w:szCs w:val="28"/>
              </w:rPr>
            </w:pPr>
            <w:r>
              <w:rPr>
                <w:rFonts w:ascii="Times New Roman" w:hAnsi="Times New Roman"/>
                <w:sz w:val="28"/>
                <w:szCs w:val="28"/>
              </w:rPr>
              <w:t>Алешечкина Екатерина Александровна, тел. 220-16-04</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