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18"/>
        <w:gridCol w:w="1994"/>
        <w:gridCol w:w="673"/>
        <w:gridCol w:w="766"/>
        <w:gridCol w:w="884"/>
        <w:gridCol w:w="1254"/>
        <w:gridCol w:w="964"/>
        <w:gridCol w:w="1004"/>
        <w:gridCol w:w="1149"/>
      </w:tblGrid>
      <w:tr w:rsidR="0027076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</w:tr>
      <w:tr w:rsidR="0027076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</w:tr>
      <w:tr w:rsidR="0027076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</w:tr>
      <w:tr w:rsidR="0027076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</w:tr>
      <w:tr w:rsidR="0027076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</w:tr>
      <w:tr w:rsidR="0027076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669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</w:tr>
      <w:tr w:rsidR="0027076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</w:tr>
      <w:tr w:rsidR="0027076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</w:tr>
      <w:tr w:rsidR="0027076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</w:tr>
      <w:tr w:rsidR="0027076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27076B" w:rsidRDefault="00425523" w:rsidP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№.71-2022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</w:tr>
      <w:tr w:rsidR="0027076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</w:tr>
      <w:tr w:rsidR="0027076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4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</w:tr>
      <w:tr w:rsidR="0027076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</w:tr>
      <w:tr w:rsidR="0027076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4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</w:tr>
      <w:tr w:rsidR="0027076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611" w:type="dxa"/>
            <w:gridSpan w:val="7"/>
            <w:shd w:val="clear" w:color="auto" w:fill="auto"/>
            <w:vAlign w:val="bottom"/>
          </w:tcPr>
          <w:p w:rsidR="0027076B" w:rsidRDefault="004255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58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</w:tr>
      <w:tr w:rsidR="0027076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27076B" w:rsidRDefault="00425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7076B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076B" w:rsidRDefault="004255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076B" w:rsidRDefault="004255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076B" w:rsidRDefault="004255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076B" w:rsidRDefault="004255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076B" w:rsidRDefault="004255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076B" w:rsidRDefault="004255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без * учета НДС, рублей</w:t>
            </w: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076B" w:rsidRDefault="004255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Ставка НДС (если применимо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предлагаемого медицинского изделия в соответствии ПП 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688 )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%</w:t>
            </w: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076B" w:rsidRDefault="004255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с НДС, рублей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076B" w:rsidRDefault="004255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076B" w:rsidRDefault="004255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7076B">
        <w:tblPrEx>
          <w:tblCellMar>
            <w:top w:w="0" w:type="dxa"/>
            <w:bottom w:w="0" w:type="dxa"/>
          </w:tblCellMar>
        </w:tblPrEx>
        <w:trPr>
          <w:trHeight w:hRule="exact" w:val="93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200х80 ±0,5см одноразовая нестерильная (уп.5 шт.) Простыня должна быть изготовлена из нетканого полипропиленового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материала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плотностью не менее 60 г/м². Мягкий, легкий материал, не раздражает кожных покровов. Простыня должна иметь ровные края, во избежание отрыва частиц материала и попадания их в операционное поле. 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териал простыни не должен иметь дефектов, части полотна должны соединяться друг с другом герметично, наличие швейной прострочки недопустимо. Данное наименование товара должно быть подтверждено наличием действующего регистрационного удостоверения. Наружная </w:t>
            </w:r>
            <w:r>
              <w:rPr>
                <w:rFonts w:ascii="Times New Roman" w:hAnsi="Times New Roman"/>
                <w:sz w:val="24"/>
                <w:szCs w:val="24"/>
              </w:rPr>
              <w:t>упаковка должна обладать высокими барьерными свойствами, иметь толщину не менее 50 мкм.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27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27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</w:tr>
      <w:tr w:rsidR="0027076B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хирургическая 200х140 см. 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Нестерильно упаковано.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27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27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</w:tr>
      <w:tr w:rsidR="0027076B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 одноразовая с перфорацией в рулонах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одноразовая с перфорацией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рулонах  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100,размер 140-200, плотность 20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27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27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</w:tr>
      <w:tr w:rsidR="0027076B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Нарукавник </w:t>
            </w:r>
            <w:r>
              <w:rPr>
                <w:rFonts w:ascii="Times New Roman" w:hAnsi="Times New Roman"/>
                <w:sz w:val="24"/>
                <w:szCs w:val="24"/>
              </w:rPr>
              <w:t>полиэтиленовый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Нарукавник одноразовый полиэтиленовый, 40 мкм, 25x40 см, 50 пар/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Назначение: Для защиты одежды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химлабораториях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косметических салонах и учреждениях здравоохранения, общепите Другое: тип одноразовый Длина: 40 см Ширина: 25 см Вес: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ара Материал: полиэтилен Количество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50 пар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Плотность/Толщина: 40 мкм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27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27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</w:tr>
      <w:tr w:rsidR="0027076B">
        <w:tblPrEx>
          <w:tblCellMar>
            <w:top w:w="0" w:type="dxa"/>
            <w:bottom w:w="0" w:type="dxa"/>
          </w:tblCellMar>
        </w:tblPrEx>
        <w:trPr>
          <w:trHeight w:hRule="exact" w:val="117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одноразовый не стерильный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хирургический, предназначен для краткосрочных (не более 3-х часов) хирургических вмешательств с незначительным количеством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жидкости.  Должен быть изготовлен из нетканого полипропиленового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плотностью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г/м². Размер 56-58, длина не менее 140 см. На спине - глубокий запах ("стерильная спина"), чет</w:t>
            </w:r>
            <w:r>
              <w:rPr>
                <w:rFonts w:ascii="Times New Roman" w:hAnsi="Times New Roman"/>
                <w:sz w:val="24"/>
                <w:szCs w:val="24"/>
              </w:rPr>
              <w:t>ыре завязки на поясе. Рукав на трикотажном манжете не менее 8 см, окантованный ворот на регулируемой застежке 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Велькро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наружный сварной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безниточный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шов. Изготовлен из полипропиленового нетканого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обладающего водоотталки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вающими свойствами, воздухопроницаемостью, пониженным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ворсоотделением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биологической устойчивостью, с поверхностной плотностью не менее 25 г/м2. Халат сложен специальным образом, обеспечивающим стерильность изделия при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27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27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</w:tr>
      <w:tr w:rsidR="0027076B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 </w:t>
            </w:r>
            <w:r>
              <w:rPr>
                <w:rFonts w:ascii="Times New Roman" w:hAnsi="Times New Roman"/>
                <w:sz w:val="24"/>
                <w:szCs w:val="24"/>
              </w:rPr>
              <w:t>нестерильный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Одноразовая одежда для медицинского персонала в операционных. Халат хирургический нестерильный 52/54 рукав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трик.манжете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Ткань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  "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дышащего"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 В нестерильном виде.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пл. 42 г/м2. Размер 52/54. Цве</w:t>
            </w:r>
            <w:r>
              <w:rPr>
                <w:rFonts w:ascii="Times New Roman" w:hAnsi="Times New Roman"/>
                <w:sz w:val="24"/>
                <w:szCs w:val="24"/>
              </w:rPr>
              <w:t>т голубой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5 500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27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27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</w:tr>
      <w:tr w:rsidR="0027076B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хирургический нестерильный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Одноразовая одежда для медицинского персонала в операционных. Халат хирургический нестерильный 56/58 рукав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трик.манжете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Ткань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  "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дышащего"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 В нестерильном виде.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пл. 42 г/м2. Размер 56/58. Цвет голубой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867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27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27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</w:tr>
      <w:tr w:rsidR="0027076B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Шапочка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Шапочка-колпак голубого цвета.  Изготовлена из   паропроницаемого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мягкого и прочного материала,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или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эквивалент </w:t>
            </w:r>
            <w:r>
              <w:rPr>
                <w:rFonts w:ascii="Times New Roman" w:hAnsi="Times New Roman"/>
                <w:sz w:val="24"/>
                <w:szCs w:val="24"/>
              </w:rPr>
              <w:t>плотностью 25 г/м². С завязками на затылке.  Общая высота - 14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5 800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27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27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</w:tr>
      <w:tr w:rsidR="0027076B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Фартук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Фартук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хирургический  влагонепроницаемый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изготовлен из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влагонепроницаемого материала плотностью не менее 40 г/м². Длина – 110 см.  Нестерильно </w:t>
            </w:r>
            <w:r>
              <w:rPr>
                <w:rFonts w:ascii="Times New Roman" w:hAnsi="Times New Roman"/>
                <w:sz w:val="24"/>
                <w:szCs w:val="24"/>
              </w:rPr>
              <w:t>упаковано.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4 500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27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27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</w:tr>
      <w:tr w:rsidR="0027076B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Фартук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Фартук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хирургический  длинный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влагонепроницаемый изготовлен из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влагонепроницаемого материала плотностью не менее 40 г/м². Длина – 140 см.  Нестерильно упаковано.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27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27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</w:tr>
      <w:tr w:rsidR="0027076B">
        <w:tblPrEx>
          <w:tblCellMar>
            <w:top w:w="0" w:type="dxa"/>
            <w:bottom w:w="0" w:type="dxa"/>
          </w:tblCellMar>
        </w:tblPrEx>
        <w:trPr>
          <w:trHeight w:hRule="exact" w:val="87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хирургический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хирургический. Размер 50-52. Водоотталкивающий, с окантовкой горловины и регулируемой застежкой ворота на «липучке». Изготовлен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42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</w:t>
            </w:r>
            <w:r>
              <w:rPr>
                <w:rFonts w:ascii="Times New Roman" w:hAnsi="Times New Roman"/>
                <w:sz w:val="24"/>
                <w:szCs w:val="24"/>
              </w:rPr>
              <w:t>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или эквивалент. Общая длина 140 см. Имеет мягкие трикотажные манжеты шириной не менее 8 см и отшивку горловины из бейки белого цвета шириной не менее7 мм. Халат сложен специальным образом для удобства асептического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надевания  без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дополнительной пом</w:t>
            </w:r>
            <w:r>
              <w:rPr>
                <w:rFonts w:ascii="Times New Roman" w:hAnsi="Times New Roman"/>
                <w:sz w:val="24"/>
                <w:szCs w:val="24"/>
              </w:rPr>
              <w:t>ощи стерильного персонала.  Критические зоны халата (рукава) изготовлены по бесшовной технологии методом ультразвуковой сварки. Стерильно, индивидуальная упаковка.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27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27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</w:tr>
      <w:tr w:rsidR="0027076B">
        <w:tblPrEx>
          <w:tblCellMar>
            <w:top w:w="0" w:type="dxa"/>
            <w:bottom w:w="0" w:type="dxa"/>
          </w:tblCellMar>
        </w:tblPrEx>
        <w:trPr>
          <w:trHeight w:hRule="exact" w:val="87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хирургический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хирургический. Размер 54-56. Водоотталкивающий,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окантовкой горловины и регулируемой застежкой ворота на «липучке». Изготовлен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42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Общая длина 140 см. Имеет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мягкие трикотажные манжеты шириной не менее 8 см и отшивку горловины из бейки белого цвета шириной не менее7 мм. Халат сложен специальным образом для удобства асептического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надевания  без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дополнительной помощи стерильного персонала.  Критические зоны хала</w:t>
            </w:r>
            <w:r>
              <w:rPr>
                <w:rFonts w:ascii="Times New Roman" w:hAnsi="Times New Roman"/>
                <w:sz w:val="24"/>
                <w:szCs w:val="24"/>
              </w:rPr>
              <w:t>та (рукава) изготовлены по бесшовной технологии методом ультразвуковой сварки. Стерильно, индивидуальная упаковка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27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27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</w:tr>
      <w:tr w:rsidR="0027076B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Салфетка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Салфетка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хирургическая  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х60 см впитывающая многослойная, изготовлена из непроницаемой, нескользящей пленки и </w:t>
            </w:r>
            <w:r>
              <w:rPr>
                <w:rFonts w:ascii="Times New Roman" w:hAnsi="Times New Roman"/>
                <w:sz w:val="24"/>
                <w:szCs w:val="24"/>
              </w:rPr>
              <w:t>впитывающей прокладки из слоев целлюлозы, покрытие, перекрывающее края. Объем впитывания не менее 1000 мл. Нестерильно упаковано.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2 100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27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27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</w:tr>
      <w:tr w:rsidR="0027076B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Салфетка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Салфетка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хирургическая  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х90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см впитывающая многослойная, изготовлена из непроницаемой, </w:t>
            </w:r>
            <w:r>
              <w:rPr>
                <w:rFonts w:ascii="Times New Roman" w:hAnsi="Times New Roman"/>
                <w:sz w:val="24"/>
                <w:szCs w:val="24"/>
              </w:rPr>
              <w:t>нескользящей пленки и впитывающей прокладки из слоев целлюлозы, покрытие, перекрывающее края. Объем впитывания не менее 1200 мл. Нестерильно упаковано.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27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27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</w:tr>
      <w:tr w:rsidR="0027076B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медицинская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хирургическая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особенно легкого нетканого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материала с 2-резинками,  3-х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:-наружный слой: нетканый, (смесь целлюлозы и полиэстера) - средний слой: полипропилен выдувного производства. Окантовка с высокой впитывающей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способностью.Длинный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интегрированный фиксатор на переносице. Все слои обраб</w:t>
            </w:r>
            <w:r>
              <w:rPr>
                <w:rFonts w:ascii="Times New Roman" w:hAnsi="Times New Roman"/>
                <w:sz w:val="24"/>
                <w:szCs w:val="24"/>
              </w:rPr>
              <w:t>отаны ультразвуковой сваркой BFE – 98.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Нестерильно упаковано.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76 032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27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27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</w:tr>
      <w:tr w:rsidR="0027076B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Рубашка хирургическая для пациента, 3 завязки спереди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Рубашка хирургическая для пациента, 3 завязки спереди. пл. 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смммс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софт, нестерильно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27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27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</w:tr>
      <w:tr w:rsidR="0027076B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</w:t>
            </w:r>
            <w:r>
              <w:rPr>
                <w:rFonts w:ascii="Times New Roman" w:hAnsi="Times New Roman"/>
                <w:sz w:val="24"/>
                <w:szCs w:val="24"/>
              </w:rPr>
              <w:t>одноразовая с перфорацией в рулонах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 одноразовая с перфорацией в рулонах №100, размер 80-200, плотность 25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42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27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7076B" w:rsidRDefault="00270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</w:tr>
      <w:tr w:rsidR="0027076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4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</w:tr>
      <w:tr w:rsidR="0027076B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27076B" w:rsidRDefault="00425523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* п.9 Приказ Минздрава России от 15.05.2020 N 450</w:t>
            </w:r>
            <w:proofErr w:type="gramStart"/>
            <w:r>
              <w:rPr>
                <w:rFonts w:ascii="Times New Roman" w:hAnsi="Times New Roman"/>
                <w:szCs w:val="16"/>
              </w:rPr>
              <w:t>н  "</w:t>
            </w:r>
            <w:proofErr w:type="gramEnd"/>
            <w:r>
              <w:rPr>
                <w:rFonts w:ascii="Times New Roman" w:hAnsi="Times New Roman"/>
                <w:szCs w:val="16"/>
              </w:rPr>
              <w:t xml:space="preserve">Об утверждении порядка определения начальной (максимальной) цены </w:t>
            </w:r>
            <w:r>
              <w:rPr>
                <w:rFonts w:ascii="Times New Roman" w:hAnsi="Times New Roman"/>
                <w:szCs w:val="16"/>
              </w:rPr>
              <w:t>контракта, цены контракта, заключаемого с единственным поставщиком (подрядчиком, исполнителем), и начальной цены единицы товара, работы, услуги при осуществлении закупок медицинских изделий")</w:t>
            </w:r>
          </w:p>
        </w:tc>
      </w:tr>
      <w:tr w:rsidR="0027076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4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</w:tr>
      <w:tr w:rsidR="0027076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27076B" w:rsidRDefault="004255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27076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4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</w:tr>
      <w:tr w:rsidR="0027076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27076B" w:rsidRDefault="004255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7076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4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27076B" w:rsidRDefault="002707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</w:tr>
      <w:tr w:rsidR="0027076B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27076B" w:rsidRDefault="004255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7076B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64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</w:tr>
      <w:tr w:rsidR="0027076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27076B" w:rsidRDefault="00425523" w:rsidP="004255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</w:t>
            </w:r>
            <w:r>
              <w:rPr>
                <w:rFonts w:ascii="Times New Roman" w:hAnsi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27076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</w:tr>
      <w:tr w:rsidR="0027076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27076B" w:rsidRDefault="004255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7076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</w:tr>
      <w:tr w:rsidR="0027076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</w:tr>
      <w:tr w:rsidR="0027076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27076B" w:rsidRDefault="0027076B">
            <w:pPr>
              <w:rPr>
                <w:szCs w:val="16"/>
              </w:rPr>
            </w:pPr>
          </w:p>
        </w:tc>
      </w:tr>
      <w:tr w:rsidR="0027076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27076B" w:rsidRDefault="004255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7076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27076B" w:rsidRDefault="004255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42552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076B"/>
    <w:rsid w:val="0027076B"/>
    <w:rsid w:val="0042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A85C4-C21A-489F-8887-5B019094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1237</Words>
  <Characters>7052</Characters>
  <Application>Microsoft Office Word</Application>
  <DocSecurity>0</DocSecurity>
  <Lines>58</Lines>
  <Paragraphs>16</Paragraphs>
  <ScaleCrop>false</ScaleCrop>
  <Company/>
  <LinksUpToDate>false</LinksUpToDate>
  <CharactersWithSpaces>8273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2022-01-19T06:21:00Z</dcterms:created>
  <dcterms:modified xsi:type="dcterms:W3CDTF">2022-01-19T06:23:00Z</dcterms:modified>
</cp:coreProperties>
</file>