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773" w:type="dxa"/>
        <w:tblLayout w:type="fixed"/>
        <w:tblCellMar>
          <w:left w:w="0" w:type="dxa"/>
          <w:right w:w="0" w:type="dxa"/>
        </w:tblCellMar>
        <w:tblLook w:val="04A0"/>
      </w:tblPr>
      <w:tblGrid>
        <w:gridCol w:w="551"/>
        <w:gridCol w:w="1483"/>
        <w:gridCol w:w="1943"/>
        <w:gridCol w:w="656"/>
        <w:gridCol w:w="748"/>
        <w:gridCol w:w="853"/>
        <w:gridCol w:w="1221"/>
        <w:gridCol w:w="1168"/>
        <w:gridCol w:w="971"/>
        <w:gridCol w:w="1116"/>
      </w:tblGrid>
      <w:tr>
        <w:trPr>
          <w:trHeight w:val="615" w:hRule="exact"/>
        </w:trPr>
        <w:tc>
          <w:tcPr>
            <w:tcW w:w="3977" w:type="dxa"/>
            <w:gridSpan w:val="3"/>
            <w:shd w:val="clear" w:color="auto" w:fill="auto"/>
            <w:textDirection w:val="lrTb"/>
            <w:vAlign w:val="bottom"/>
          </w:tcPr>
          <w:p>
            <w:pPr>
              <w:wordWrap w:val="1"/>
              <w:jc w:val="center"/>
              <w:rPr>
                <w:rFonts w:ascii="Times New Roman" w:hAnsi="Times New Roman"/>
                <w:sz w:val="24"/>
                <w:szCs w:val="24"/>
              </w:rPr>
            </w:pPr>
            <w:r>
              <w:rPr>
                <w:rFonts w:ascii="Times New Roman" w:hAnsi="Times New Roman"/>
                <w:sz w:val="24"/>
                <w:szCs w:val="24"/>
              </w:rPr>
              <w:t>Краевое государственное бюджетное учреждение здравоохранения</w:t>
            </w:r>
          </w:p>
        </w:tc>
        <w:tc>
          <w:tcPr>
            <w:tcW w:w="656" w:type="dxa"/>
            <w:shd w:val="clear" w:color="auto" w:fill="auto"/>
            <w:textDirection w:val="lrTb"/>
            <w:vAlign w:val="bottom"/>
          </w:tcPr>
          <w:p>
            <w:pPr>
              <w:jc w:val="left"/>
              <w:rPr>
                <w:rFonts w:ascii="Times New Roman" w:hAnsi="Times New Roman"/>
                <w:sz w:val="24"/>
                <w:szCs w:val="24"/>
              </w:rPr>
            </w:pPr>
            <w:r/>
          </w:p>
        </w:tc>
        <w:tc>
          <w:tcPr>
            <w:tcW w:w="1601" w:type="dxa"/>
            <w:gridSpan w:val="2"/>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Руководителю </w:t>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Краевая клиническая больница</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ул. П. Железняка, 3, г. Красноярск, 660022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Телефон: 8 (391) 220-16-13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Факс: 8 (391) 220-16-23</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Е-mail: kkb@ medqorod. 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Http://www.medgorod.ru</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ОКПО 01913234</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ИНН/КПП 2465030876/246501001</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10/03/2022 г. №.395-2022</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На №_________ от ________________</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3977" w:type="dxa"/>
            <w:gridSpan w:val="3"/>
            <w:shd w:val="clear" w:color="auto" w:fill="auto"/>
            <w:textDirection w:val="lrTb"/>
            <w:vAlign w:val="bottom"/>
          </w:tcPr>
          <w:p>
            <w:pPr>
              <w:jc w:val="center"/>
              <w:rPr>
                <w:rFonts w:ascii="Times New Roman" w:hAnsi="Times New Roman"/>
                <w:sz w:val="24"/>
                <w:szCs w:val="24"/>
              </w:rPr>
            </w:pPr>
            <w:r>
              <w:rPr>
                <w:rFonts w:ascii="Times New Roman" w:hAnsi="Times New Roman"/>
                <w:sz w:val="24"/>
                <w:szCs w:val="24"/>
              </w:rPr>
              <w:t>О коммерческом предложении</w:t>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15" w:hRule="exact"/>
        </w:trPr>
        <w:tc>
          <w:tcPr>
            <w:tcW w:w="551" w:type="dxa"/>
            <w:shd w:val="clear" w:color="auto" w:fill="auto"/>
            <w:textDirection w:val="lrTb"/>
            <w:vAlign w:val="bottom"/>
          </w:tcPr>
          <w:p>
            <w:pPr>
              <w:jc w:val="left"/>
              <w:rPr>
                <w:rFonts w:ascii="Times New Roman" w:hAnsi="Times New Roman"/>
                <w:sz w:val="24"/>
                <w:szCs w:val="24"/>
              </w:rPr>
            </w:pPr>
            <w:r/>
          </w:p>
        </w:tc>
        <w:tc>
          <w:tcPr>
            <w:tcW w:w="1483" w:type="dxa"/>
            <w:shd w:val="clear" w:color="auto" w:fill="auto"/>
            <w:textDirection w:val="lrTb"/>
            <w:vAlign w:val="bottom"/>
          </w:tcPr>
          <w:p>
            <w:pPr>
              <w:jc w:val="left"/>
              <w:rPr>
                <w:rFonts w:ascii="Times New Roman" w:hAnsi="Times New Roman"/>
                <w:sz w:val="24"/>
                <w:szCs w:val="24"/>
              </w:rPr>
            </w:pPr>
            <w:r/>
          </w:p>
        </w:tc>
        <w:tc>
          <w:tcPr>
            <w:tcW w:w="1943" w:type="dxa"/>
            <w:shd w:val="clear" w:color="auto" w:fill="auto"/>
            <w:textDirection w:val="lrTb"/>
            <w:vAlign w:val="bottom"/>
          </w:tcPr>
          <w:p>
            <w:pPr>
              <w:jc w:val="left"/>
              <w:rPr>
                <w:rFonts w:ascii="Times New Roman" w:hAnsi="Times New Roman"/>
                <w:sz w:val="24"/>
                <w:szCs w:val="24"/>
              </w:rPr>
            </w:pPr>
            <w:r/>
          </w:p>
        </w:tc>
        <w:tc>
          <w:tcPr>
            <w:tcW w:w="656" w:type="dxa"/>
            <w:shd w:val="clear" w:color="auto" w:fill="auto"/>
            <w:textDirection w:val="lrTb"/>
            <w:vAlign w:val="bottom"/>
          </w:tcPr>
          <w:p>
            <w:pPr>
              <w:jc w:val="left"/>
              <w:rPr>
                <w:rFonts w:ascii="Times New Roman" w:hAnsi="Times New Roman"/>
                <w:sz w:val="24"/>
                <w:szCs w:val="24"/>
              </w:rPr>
            </w:pPr>
            <w:r/>
          </w:p>
        </w:tc>
        <w:tc>
          <w:tcPr>
            <w:tcW w:w="748" w:type="dxa"/>
            <w:shd w:val="clear" w:color="auto" w:fill="auto"/>
            <w:textDirection w:val="lrTb"/>
            <w:vAlign w:val="bottom"/>
          </w:tcPr>
          <w:p>
            <w:pPr>
              <w:jc w:val="left"/>
              <w:rPr>
                <w:rFonts w:ascii="Times New Roman" w:hAnsi="Times New Roman"/>
                <w:sz w:val="24"/>
                <w:szCs w:val="24"/>
              </w:rPr>
            </w:pPr>
            <w:r/>
          </w:p>
        </w:tc>
        <w:tc>
          <w:tcPr>
            <w:tcW w:w="853" w:type="dxa"/>
            <w:shd w:val="clear" w:color="auto" w:fill="auto"/>
            <w:textDirection w:val="lrTb"/>
            <w:vAlign w:val="bottom"/>
          </w:tcPr>
          <w:p>
            <w:pPr>
              <w:jc w:val="left"/>
              <w:rPr>
                <w:rFonts w:ascii="Times New Roman" w:hAnsi="Times New Roman"/>
                <w:sz w:val="24"/>
                <w:szCs w:val="24"/>
              </w:rPr>
            </w:pPr>
            <w:r/>
          </w:p>
        </w:tc>
        <w:tc>
          <w:tcPr>
            <w:tcW w:w="1221" w:type="dxa"/>
            <w:shd w:val="clear" w:color="auto" w:fill="auto"/>
            <w:textDirection w:val="lrTb"/>
            <w:vAlign w:val="bottom"/>
          </w:tcPr>
          <w:p>
            <w:pPr>
              <w:jc w:val="left"/>
              <w:rPr>
                <w:rFonts w:ascii="Times New Roman" w:hAnsi="Times New Roman"/>
                <w:sz w:val="24"/>
                <w:szCs w:val="24"/>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7455" w:type="dxa"/>
            <w:gridSpan w:val="7"/>
            <w:shd w:val="clear" w:color="auto" w:fill="auto"/>
            <w:textDirection w:val="lrTb"/>
            <w:vAlign w:val="bottom"/>
          </w:tcPr>
          <w:p>
            <w:pPr>
              <w:jc w:val="center"/>
              <w:rPr>
                <w:rFonts w:ascii="Times New Roman" w:hAnsi="Times New Roman"/>
                <w:b/>
                <w:sz w:val="28"/>
                <w:szCs w:val="28"/>
              </w:rPr>
            </w:pPr>
            <w:r>
              <w:rPr>
                <w:rFonts w:ascii="Times New Roman" w:hAnsi="Times New Roman"/>
                <w:b/>
                <w:sz w:val="28"/>
                <w:szCs w:val="28"/>
              </w:rPr>
              <w:t>Уважаемые господа!</w:t>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center"/>
              <w:rPr>
                <w:rFonts w:ascii="Times New Roman" w:hAnsi="Times New Roman"/>
                <w:sz w:val="28"/>
                <w:szCs w:val="28"/>
              </w:rPr>
            </w:pPr>
            <w:r>
              <w:rPr>
                <w:rFonts w:ascii="Times New Roman" w:hAnsi="Times New Roman"/>
                <w:sz w:val="28"/>
                <w:szCs w:val="28"/>
              </w:rPr>
              <w:t xml:space="preserve">     Прошу Вас предоставить коммерческое предложение на право поставки следующего товара или эквивалента:</w:t>
            </w:r>
          </w:p>
        </w:tc>
      </w:tr>
      <w:tr>
        <w:trPr>
          <w:trHeight w:val="6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 п/п</w:t>
            </w:r>
          </w:p>
        </w:tc>
        <w:tc>
          <w:tcPr>
            <w:tcW w:w="148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Наименование</w:t>
            </w:r>
          </w:p>
        </w:tc>
        <w:tc>
          <w:tcPr>
            <w:tcW w:w="194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Характеристики</w:t>
            </w:r>
          </w:p>
        </w:tc>
        <w:tc>
          <w:tcPr>
            <w:tcW w:w="656"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Ед. изм.</w:t>
            </w:r>
          </w:p>
        </w:tc>
        <w:tc>
          <w:tcPr>
            <w:tcW w:w="748"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Кол-во, шт</w:t>
            </w:r>
          </w:p>
        </w:tc>
        <w:tc>
          <w:tcPr>
            <w:tcW w:w="853"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Цена, рублей</w:t>
            </w:r>
          </w:p>
        </w:tc>
        <w:tc>
          <w:tcPr>
            <w:tcW w:w="1221" w:type="dxa"/>
            <w:tcBorders>
              <w:top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Страна происхождения</w:t>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Остаточный срок годности</w:t>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ОКПД2\КТРУ</w:t>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center"/>
          </w:tcPr>
          <w:p>
            <w:pPr>
              <w:wordWrap w:val="1"/>
              <w:jc w:val="center"/>
              <w:rPr>
                <w:rFonts w:ascii="Times New Roman" w:hAnsi="Times New Roman"/>
                <w:b/>
                <w:sz w:val="24"/>
                <w:szCs w:val="24"/>
              </w:rPr>
            </w:pPr>
            <w:r/>
            <w:r>
              <w:rPr>
                <w:rFonts w:ascii="Times New Roman" w:hAnsi="Times New Roman"/>
                <w:b/>
                <w:sz w:val="24"/>
                <w:szCs w:val="24"/>
              </w:rPr>
              <w:t>Код вида МИ</w:t>
            </w:r>
          </w:p>
        </w:tc>
      </w:tr>
      <w:tr>
        <w:trPr>
          <w:trHeight w:val="8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Кассета, состоящая из артериальной, венозной магистралей и магистрали фильтрата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Объём заполнения не более 170 мл. Наличие одной артериальной магистрали с артериальной ловушкой. Диаметр артериальной ловушки не более 22 мм. Наличие двух отведений для датчиков давления. Наличие одной венозной магистрали. Насосный сегмент. Диаметр насосного сегмента не более 6,4 мм. Адаптер фиксатор насосного сегмента красного цвета. Наличие венозной ловушки диаметром не более 22 мм. Наличие дренажного мешка объёмом не менее 2000 мл. Наличие порта для инъекций. Наличие магистрали фильтрата.  Насосный сегмент с диаметром не более 6,4 мм. Адаптер-фиксатор насосного сегмента жёлтого цвета. Наличие одного отведения для датчика давления. Дополнительный порт для иньекций. Стерильная упаковка.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3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Магистраль диализата  158 мл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Магистраль диализата, совместимая с аппаратом - 1шт., объем заполнения 158 мл, насосный сегмент 1шт., диаметр насосного сегмента 6,4мм, адаптер для фиксации насосного сегмента "зеленый" 1шт., HF-коннектор 2шт., камера подогрева 1шт., стерилизация этиленоксидом.</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3</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Магистраль замещающего раствора 158 мл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Магистраль замещающего раствора, совместимая с аппаратом - 1шт., объем заполнения 158мл, насосный сегмент 1шт., диаметр насосного сегмента 6,4мм, адаптер для фиксации насосного сегмента "белый" 1шт., HF-коннектор 2шт., Luer-коннектор 1шт., камера подогрева 1шт., стерилизация этиленоксидом. </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4</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Магистраль замещающего раствора  для плазмосепарации </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Объем заполнения 275 мл, насосный сегмент 1шт., диаметр насосного сегмента 6,4 мм, адаптер для фиксации насосного сегмента "белый" 1шт., камера подогрева 2шт., пластиковая игла 4шт., стерилизация этиленоксидом.</w:t>
              <w:br/>
              <w:t>
</w:t>
              <w:br/>
              <w:t>
</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9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5</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Мешок для сбора фильтрата, 10 л</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Объём заполнения не менее 10 л. Наличие крана для слива фильтрата</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6</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Фракционатор для селективного высокообъемного плазмафереза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Функциональное назначение товара - трансфузиологическое обеспечение операций на сердце,лечение полиорганной недостаточности. Материал мембраны - кополимер этилена и винилового спирта. Размер пор мембраны - 0,01 мкм.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20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2715" w:hRule="exact"/>
        </w:trPr>
        <w:tc>
          <w:tcPr>
            <w:tcW w:w="551" w:type="dxa"/>
            <w:tcBorders>
              <w:top w:val="single" w:sz="5" w:space="0" w:color="auto"/>
              <w:left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7</w:t>
            </w:r>
          </w:p>
        </w:tc>
        <w:tc>
          <w:tcPr>
            <w:tcW w:w="148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Фракционатор для селективного высокообъемного плазмафереза</w:t>
            </w:r>
          </w:p>
        </w:tc>
        <w:tc>
          <w:tcPr>
            <w:tcW w:w="194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Функциональное назначение товара - трансфузиологическое обеспечение операций на сердце,лечение полиорганной недостаточности. Материал мембраны - кополимер этилена и винилового спирта. Размер пор мембраны - 0,03 мкм.</w:t>
            </w:r>
          </w:p>
        </w:tc>
        <w:tc>
          <w:tcPr>
            <w:tcW w:w="656"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шт.</w:t>
            </w:r>
          </w:p>
        </w:tc>
        <w:tc>
          <w:tcPr>
            <w:tcW w:w="748"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r>
              <w:rPr>
                <w:rFonts w:ascii="Times New Roman" w:hAnsi="Times New Roman"/>
                <w:sz w:val="24"/>
                <w:szCs w:val="24"/>
              </w:rPr>
              <w:t>10</w:t>
            </w:r>
          </w:p>
        </w:tc>
        <w:tc>
          <w:tcPr>
            <w:tcW w:w="853"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221" w:type="dxa"/>
            <w:tcBorders>
              <w:top w:val="single" w:sz="5" w:space="0" w:color="auto"/>
              <w:bottom w:val="single" w:sz="5" w:space="0" w:color="auto"/>
              <w:right w:val="single" w:sz="5" w:space="0" w:color="auto"/>
            </w:tcBorders>
            <w:shd w:val="clear" w:color="auto" w:fill="auto"/>
            <w:textDirection w:val="lrTb"/>
            <w:vAlign w:val="top"/>
          </w:tcPr>
          <w:p>
            <w:pPr>
              <w:wordWrap w:val="1"/>
              <w:jc w:val="center"/>
              <w:rPr>
                <w:rFonts w:ascii="Times New Roman" w:hAnsi="Times New Roman"/>
                <w:sz w:val="24"/>
                <w:szCs w:val="24"/>
              </w:rPr>
            </w:pPr>
            <w:r/>
          </w:p>
        </w:tc>
        <w:tc>
          <w:tcPr>
            <w:tcW w:w="1168"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971"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c>
          <w:tcPr>
            <w:tcW w:w="1116" w:type="dxa"/>
            <w:tcBorders>
              <w:top w:val="single" w:sz="5" w:space="0" w:color="auto"/>
              <w:left w:val="single" w:sz="5" w:space="0" w:color="auto"/>
              <w:bottom w:val="single" w:sz="5" w:space="0" w:color="auto"/>
              <w:right w:val="single" w:sz="5" w:space="0" w:color="auto"/>
            </w:tcBorders>
            <w:shd w:val="clear" w:color="auto" w:fill="auto"/>
            <w:textDirection w:val="lrTb"/>
            <w:vAlign w:val="bottom"/>
          </w:tcPr>
          <w:p>
            <w:pPr>
              <w:jc w:val="left"/>
              <w:rPr>
                <w:rFonts w:ascii="Arial" w:hAnsi="Arial"/>
                <w:sz w:val="16"/>
                <w:szCs w:val="16"/>
              </w:rPr>
            </w:pPr>
            <w:r/>
          </w:p>
        </w:tc>
      </w:tr>
      <w:tr>
        <w:trPr>
          <w:trHeight w:val="37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left"/>
              <w:rPr>
                <w:rFonts w:ascii="Times New Roman" w:hAnsi="Times New Roman"/>
                <w:sz w:val="28"/>
                <w:szCs w:val="28"/>
              </w:rPr>
            </w:pPr>
            <w:r>
              <w:rPr>
                <w:rFonts w:ascii="Times New Roman" w:hAnsi="Times New Roman"/>
                <w:sz w:val="28"/>
                <w:szCs w:val="28"/>
              </w:rPr>
              <w:t xml:space="preserve">       Срок поставки: с момента заключения контракта до 31.12.2022, по заявкам заказчика..</w:t>
            </w:r>
          </w:p>
        </w:tc>
      </w:tr>
      <w:tr>
        <w:trPr>
          <w:trHeight w:val="120"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Цена должна быть указана с учетом доставки  до КГБУЗ «Краевая клиническая больница» г.Красноярск, ул. Партизана Железняка, 3. </w:t>
            </w:r>
          </w:p>
        </w:tc>
      </w:tr>
      <w:tr>
        <w:trPr>
          <w:trHeight w:val="120" w:hRule="exact"/>
        </w:trPr>
        <w:tc>
          <w:tcPr>
            <w:tcW w:w="551" w:type="dxa"/>
            <w:shd w:val="clear" w:color="auto" w:fill="auto"/>
            <w:textDirection w:val="lrTb"/>
            <w:vAlign w:val="bottom"/>
          </w:tcPr>
          <w:p>
            <w:pPr>
              <w:wordWrap w:val="1"/>
              <w:jc w:val="left"/>
              <w:rPr>
                <w:rFonts w:ascii="Times New Roman" w:hAnsi="Times New Roman"/>
                <w:sz w:val="28"/>
                <w:szCs w:val="28"/>
              </w:rPr>
            </w:pPr>
            <w:r/>
          </w:p>
        </w:tc>
        <w:tc>
          <w:tcPr>
            <w:tcW w:w="1483" w:type="dxa"/>
            <w:shd w:val="clear" w:color="auto" w:fill="auto"/>
            <w:textDirection w:val="lrTb"/>
            <w:vAlign w:val="bottom"/>
          </w:tcPr>
          <w:p>
            <w:pPr>
              <w:wordWrap w:val="1"/>
              <w:jc w:val="left"/>
              <w:rPr>
                <w:rFonts w:ascii="Times New Roman" w:hAnsi="Times New Roman"/>
                <w:sz w:val="28"/>
                <w:szCs w:val="28"/>
              </w:rPr>
            </w:pPr>
            <w:r/>
          </w:p>
        </w:tc>
        <w:tc>
          <w:tcPr>
            <w:tcW w:w="1943" w:type="dxa"/>
            <w:shd w:val="clear" w:color="auto" w:fill="auto"/>
            <w:textDirection w:val="lrTb"/>
            <w:vAlign w:val="bottom"/>
          </w:tcPr>
          <w:p>
            <w:pPr>
              <w:wordWrap w:val="1"/>
              <w:jc w:val="left"/>
              <w:rPr>
                <w:rFonts w:ascii="Times New Roman" w:hAnsi="Times New Roman"/>
                <w:sz w:val="28"/>
                <w:szCs w:val="28"/>
              </w:rPr>
            </w:pPr>
            <w:r/>
          </w:p>
        </w:tc>
        <w:tc>
          <w:tcPr>
            <w:tcW w:w="656" w:type="dxa"/>
            <w:shd w:val="clear" w:color="auto" w:fill="auto"/>
            <w:textDirection w:val="lrTb"/>
            <w:vAlign w:val="bottom"/>
          </w:tcPr>
          <w:p>
            <w:pPr>
              <w:wordWrap w:val="1"/>
              <w:jc w:val="left"/>
              <w:rPr>
                <w:rFonts w:ascii="Times New Roman" w:hAnsi="Times New Roman"/>
                <w:sz w:val="28"/>
                <w:szCs w:val="28"/>
              </w:rPr>
            </w:pPr>
            <w:r/>
          </w:p>
        </w:tc>
        <w:tc>
          <w:tcPr>
            <w:tcW w:w="748" w:type="dxa"/>
            <w:shd w:val="clear" w:color="auto" w:fill="auto"/>
            <w:textDirection w:val="lrTb"/>
            <w:vAlign w:val="bottom"/>
          </w:tcPr>
          <w:p>
            <w:pPr>
              <w:wordWrap w:val="1"/>
              <w:jc w:val="left"/>
              <w:rPr>
                <w:rFonts w:ascii="Times New Roman" w:hAnsi="Times New Roman"/>
                <w:sz w:val="28"/>
                <w:szCs w:val="28"/>
              </w:rPr>
            </w:pPr>
            <w:r/>
          </w:p>
        </w:tc>
        <w:tc>
          <w:tcPr>
            <w:tcW w:w="853" w:type="dxa"/>
            <w:shd w:val="clear" w:color="auto" w:fill="auto"/>
            <w:textDirection w:val="lrTb"/>
            <w:vAlign w:val="bottom"/>
          </w:tcPr>
          <w:p>
            <w:pPr>
              <w:wordWrap w:val="1"/>
              <w:jc w:val="left"/>
              <w:rPr>
                <w:rFonts w:ascii="Times New Roman" w:hAnsi="Times New Roman"/>
                <w:sz w:val="28"/>
                <w:szCs w:val="28"/>
              </w:rPr>
            </w:pPr>
            <w:r/>
          </w:p>
        </w:tc>
        <w:tc>
          <w:tcPr>
            <w:tcW w:w="1221" w:type="dxa"/>
            <w:shd w:val="clear" w:color="auto" w:fill="auto"/>
            <w:textDirection w:val="lrTb"/>
            <w:vAlign w:val="bottom"/>
          </w:tcPr>
          <w:p>
            <w:pPr>
              <w:wordWrap w:val="1"/>
              <w:jc w:val="left"/>
              <w:rPr>
                <w:rFonts w:ascii="Times New Roman" w:hAnsi="Times New Roman"/>
                <w:sz w:val="28"/>
                <w:szCs w:val="28"/>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705" w:hRule="exact"/>
        </w:trPr>
        <w:tc>
          <w:tcPr>
            <w:tcW w:w="10710" w:type="dxa"/>
            <w:gridSpan w:val="10"/>
            <w:shd w:val="clear" w:color="auto" w:fill="auto"/>
            <w:textDirection w:val="lrTb"/>
            <w:vAlign w:val="bottom"/>
          </w:tcPr>
          <w:p>
            <w:pPr>
              <w:wordWrap w:val="1"/>
              <w:jc w:val="both"/>
              <w:rPr>
                <w:rFonts w:ascii="Times New Roman" w:hAnsi="Times New Roman"/>
                <w:sz w:val="28"/>
                <w:szCs w:val="28"/>
              </w:rPr>
            </w:pPr>
            <w:r>
              <w:rPr>
                <w:rFonts w:ascii="Times New Roman" w:hAnsi="Times New Roman"/>
                <w:sz w:val="28"/>
                <w:szCs w:val="28"/>
              </w:rPr>
              <w:t xml:space="preserve">       Информацию необходимо направить по факсу +7 (391) 220-16-23, электронной почте zakupki@medgorod.ru  или по адресу г. Красноярск, ул. Партизана Железняка 3-б, отдел обеспечения государственных закупок, тел. 220-16-04</w:t>
            </w:r>
          </w:p>
        </w:tc>
      </w:tr>
      <w:tr>
        <w:trPr>
          <w:trHeight w:val="165" w:hRule="exact"/>
        </w:trPr>
        <w:tc>
          <w:tcPr>
            <w:tcW w:w="551" w:type="dxa"/>
            <w:shd w:val="clear" w:color="auto" w:fill="auto"/>
            <w:textDirection w:val="lrTb"/>
            <w:vAlign w:val="bottom"/>
          </w:tcPr>
          <w:p>
            <w:pPr>
              <w:jc w:val="left"/>
              <w:rPr>
                <w:rFonts w:ascii="Arial" w:hAnsi="Arial"/>
                <w:sz w:val="16"/>
                <w:szCs w:val="16"/>
              </w:rPr>
            </w:pPr>
            <w:r/>
          </w:p>
        </w:tc>
        <w:tc>
          <w:tcPr>
            <w:tcW w:w="1483" w:type="dxa"/>
            <w:shd w:val="clear" w:color="auto" w:fill="auto"/>
            <w:textDirection w:val="lrTb"/>
            <w:vAlign w:val="bottom"/>
          </w:tcPr>
          <w:p>
            <w:pPr>
              <w:jc w:val="left"/>
              <w:rPr>
                <w:rFonts w:ascii="Arial" w:hAnsi="Arial"/>
                <w:sz w:val="16"/>
                <w:szCs w:val="16"/>
              </w:rPr>
            </w:pPr>
            <w:r/>
          </w:p>
        </w:tc>
        <w:tc>
          <w:tcPr>
            <w:tcW w:w="1943" w:type="dxa"/>
            <w:shd w:val="clear" w:color="auto" w:fill="auto"/>
            <w:textDirection w:val="lrTb"/>
            <w:vAlign w:val="bottom"/>
          </w:tcPr>
          <w:p>
            <w:pPr>
              <w:jc w:val="left"/>
              <w:rPr>
                <w:rFonts w:ascii="Arial" w:hAnsi="Arial"/>
                <w:sz w:val="16"/>
                <w:szCs w:val="16"/>
              </w:rPr>
            </w:pPr>
            <w:r/>
          </w:p>
        </w:tc>
        <w:tc>
          <w:tcPr>
            <w:tcW w:w="656" w:type="dxa"/>
            <w:shd w:val="clear" w:color="auto" w:fill="auto"/>
            <w:textDirection w:val="lrTb"/>
            <w:vAlign w:val="bottom"/>
          </w:tcPr>
          <w:p>
            <w:pPr>
              <w:jc w:val="left"/>
              <w:rPr>
                <w:rFonts w:ascii="Arial" w:hAnsi="Arial"/>
                <w:sz w:val="16"/>
                <w:szCs w:val="16"/>
              </w:rPr>
            </w:pPr>
            <w:r/>
          </w:p>
        </w:tc>
        <w:tc>
          <w:tcPr>
            <w:tcW w:w="748" w:type="dxa"/>
            <w:shd w:val="clear" w:color="auto" w:fill="auto"/>
            <w:textDirection w:val="lrTb"/>
            <w:vAlign w:val="bottom"/>
          </w:tcPr>
          <w:p>
            <w:pPr>
              <w:jc w:val="left"/>
              <w:rPr>
                <w:rFonts w:ascii="Arial" w:hAnsi="Arial"/>
                <w:sz w:val="16"/>
                <w:szCs w:val="16"/>
              </w:rPr>
            </w:pPr>
            <w:r/>
          </w:p>
        </w:tc>
        <w:tc>
          <w:tcPr>
            <w:tcW w:w="853" w:type="dxa"/>
            <w:shd w:val="clear" w:color="auto" w:fill="auto"/>
            <w:textDirection w:val="lrTb"/>
            <w:vAlign w:val="bottom"/>
          </w:tcPr>
          <w:p>
            <w:pPr>
              <w:jc w:val="left"/>
              <w:rPr>
                <w:rFonts w:ascii="Arial" w:hAnsi="Arial"/>
                <w:sz w:val="16"/>
                <w:szCs w:val="16"/>
              </w:rPr>
            </w:pPr>
            <w:r/>
          </w:p>
        </w:tc>
        <w:tc>
          <w:tcPr>
            <w:tcW w:w="1221" w:type="dxa"/>
            <w:shd w:val="clear" w:color="auto" w:fill="auto"/>
            <w:textDirection w:val="lrTb"/>
            <w:vAlign w:val="bottom"/>
          </w:tcPr>
          <w:p>
            <w:pPr>
              <w:jc w:val="left"/>
              <w:rPr>
                <w:rFonts w:ascii="Arial" w:hAnsi="Arial"/>
                <w:sz w:val="16"/>
                <w:szCs w:val="16"/>
              </w:rPr>
            </w:pPr>
            <w:r/>
          </w:p>
        </w:tc>
        <w:tc>
          <w:tcPr>
            <w:tcW w:w="1168" w:type="dxa"/>
            <w:shd w:val="clear" w:color="auto" w:fill="auto"/>
            <w:textDirection w:val="lrTb"/>
            <w:vAlign w:val="bottom"/>
          </w:tcPr>
          <w:p>
            <w:pPr>
              <w:jc w:val="left"/>
              <w:rPr>
                <w:rFonts w:ascii="Arial" w:hAnsi="Arial"/>
                <w:sz w:val="16"/>
                <w:szCs w:val="16"/>
              </w:rPr>
            </w:pPr>
            <w:r/>
          </w:p>
        </w:tc>
        <w:tc>
          <w:tcPr>
            <w:tcW w:w="971" w:type="dxa"/>
            <w:shd w:val="clear" w:color="auto" w:fill="auto"/>
            <w:textDirection w:val="lrTb"/>
            <w:vAlign w:val="bottom"/>
          </w:tcPr>
          <w:p>
            <w:pPr>
              <w:jc w:val="left"/>
              <w:rPr>
                <w:rFonts w:ascii="Arial" w:hAnsi="Arial"/>
                <w:sz w:val="16"/>
                <w:szCs w:val="16"/>
              </w:rPr>
            </w:pPr>
            <w:r/>
          </w:p>
        </w:tc>
        <w:tc>
          <w:tcPr>
            <w:tcW w:w="1116" w:type="dxa"/>
            <w:shd w:val="clear" w:color="auto" w:fill="auto"/>
            <w:textDirection w:val="lrTb"/>
            <w:vAlign w:val="bottom"/>
          </w:tcPr>
          <w:p>
            <w:pPr>
              <w:jc w:val="left"/>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 xml:space="preserve">       Предложения принимаются в срок до 15.03.2022 17:00:00 по местному времени. </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Руководитель контрактной службы________________________/Алешечкина Е.А./</w:t>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225" w:hRule="exact"/>
        </w:trPr>
        <w:tc>
          <w:tcPr>
            <w:tcW w:w="551" w:type="dxa"/>
            <w:shd w:val="clear" w:color="auto" w:fill="auto"/>
            <w:textDirection w:val="lrTb"/>
            <w:vAlign w:val="bottom"/>
          </w:tcPr>
          <w:p>
            <w:pPr>
              <w:rPr>
                <w:rFonts w:ascii="Arial" w:hAnsi="Arial"/>
                <w:sz w:val="16"/>
                <w:szCs w:val="16"/>
              </w:rPr>
            </w:pPr>
            <w:r/>
          </w:p>
        </w:tc>
        <w:tc>
          <w:tcPr>
            <w:tcW w:w="1483" w:type="dxa"/>
            <w:shd w:val="clear" w:color="auto" w:fill="auto"/>
            <w:textDirection w:val="lrTb"/>
            <w:vAlign w:val="bottom"/>
          </w:tcPr>
          <w:p>
            <w:pPr>
              <w:rPr>
                <w:rFonts w:ascii="Arial" w:hAnsi="Arial"/>
                <w:sz w:val="16"/>
                <w:szCs w:val="16"/>
              </w:rPr>
            </w:pPr>
            <w:r/>
          </w:p>
        </w:tc>
        <w:tc>
          <w:tcPr>
            <w:tcW w:w="1943" w:type="dxa"/>
            <w:shd w:val="clear" w:color="auto" w:fill="auto"/>
            <w:textDirection w:val="lrTb"/>
            <w:vAlign w:val="bottom"/>
          </w:tcPr>
          <w:p>
            <w:pPr>
              <w:rPr>
                <w:rFonts w:ascii="Arial" w:hAnsi="Arial"/>
                <w:sz w:val="16"/>
                <w:szCs w:val="16"/>
              </w:rPr>
            </w:pPr>
            <w:r/>
          </w:p>
        </w:tc>
        <w:tc>
          <w:tcPr>
            <w:tcW w:w="656" w:type="dxa"/>
            <w:shd w:val="clear" w:color="auto" w:fill="auto"/>
            <w:textDirection w:val="lrTb"/>
            <w:vAlign w:val="bottom"/>
          </w:tcPr>
          <w:p>
            <w:pPr>
              <w:rPr>
                <w:rFonts w:ascii="Arial" w:hAnsi="Arial"/>
                <w:sz w:val="16"/>
                <w:szCs w:val="16"/>
              </w:rPr>
            </w:pPr>
            <w:r/>
          </w:p>
        </w:tc>
        <w:tc>
          <w:tcPr>
            <w:tcW w:w="748" w:type="dxa"/>
            <w:shd w:val="clear" w:color="auto" w:fill="auto"/>
            <w:textDirection w:val="lrTb"/>
            <w:vAlign w:val="bottom"/>
          </w:tcPr>
          <w:p>
            <w:pPr>
              <w:rPr>
                <w:rFonts w:ascii="Arial" w:hAnsi="Arial"/>
                <w:sz w:val="16"/>
                <w:szCs w:val="16"/>
              </w:rPr>
            </w:pPr>
            <w:r/>
          </w:p>
        </w:tc>
        <w:tc>
          <w:tcPr>
            <w:tcW w:w="853" w:type="dxa"/>
            <w:shd w:val="clear" w:color="auto" w:fill="auto"/>
            <w:textDirection w:val="lrTb"/>
            <w:vAlign w:val="bottom"/>
          </w:tcPr>
          <w:p>
            <w:pPr>
              <w:rPr>
                <w:rFonts w:ascii="Arial" w:hAnsi="Arial"/>
                <w:sz w:val="16"/>
                <w:szCs w:val="16"/>
              </w:rPr>
            </w:pPr>
            <w:r/>
          </w:p>
        </w:tc>
        <w:tc>
          <w:tcPr>
            <w:tcW w:w="1221" w:type="dxa"/>
            <w:shd w:val="clear" w:color="auto" w:fill="auto"/>
            <w:textDirection w:val="lrTb"/>
            <w:vAlign w:val="bottom"/>
          </w:tcPr>
          <w:p>
            <w:pPr>
              <w:rPr>
                <w:rFonts w:ascii="Arial" w:hAnsi="Arial"/>
                <w:sz w:val="16"/>
                <w:szCs w:val="16"/>
              </w:rPr>
            </w:pPr>
            <w:r/>
          </w:p>
        </w:tc>
        <w:tc>
          <w:tcPr>
            <w:tcW w:w="1168" w:type="dxa"/>
            <w:shd w:val="clear" w:color="auto" w:fill="auto"/>
            <w:textDirection w:val="lrTb"/>
            <w:vAlign w:val="bottom"/>
          </w:tcPr>
          <w:p>
            <w:pPr>
              <w:rPr>
                <w:rFonts w:ascii="Arial" w:hAnsi="Arial"/>
                <w:sz w:val="16"/>
                <w:szCs w:val="16"/>
              </w:rPr>
            </w:pPr>
            <w:r/>
          </w:p>
        </w:tc>
        <w:tc>
          <w:tcPr>
            <w:tcW w:w="971" w:type="dxa"/>
            <w:shd w:val="clear" w:color="auto" w:fill="auto"/>
            <w:textDirection w:val="lrTb"/>
            <w:vAlign w:val="bottom"/>
          </w:tcPr>
          <w:p>
            <w:pPr>
              <w:rPr>
                <w:rFonts w:ascii="Arial" w:hAnsi="Arial"/>
                <w:sz w:val="16"/>
                <w:szCs w:val="16"/>
              </w:rPr>
            </w:pPr>
            <w:r/>
          </w:p>
        </w:tc>
        <w:tc>
          <w:tcPr>
            <w:tcW w:w="1116" w:type="dxa"/>
            <w:shd w:val="clear" w:color="auto" w:fill="auto"/>
            <w:textDirection w:val="lrTb"/>
            <w:vAlign w:val="bottom"/>
          </w:tcPr>
          <w:p>
            <w:pPr>
              <w:rPr>
                <w:rFonts w:ascii="Arial" w:hAnsi="Arial"/>
                <w:sz w:val="16"/>
                <w:szCs w:val="16"/>
              </w:rPr>
            </w:pPr>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Исполнитель:</w:t>
            </w:r>
          </w:p>
        </w:tc>
      </w:tr>
      <w:tr>
        <w:trPr>
          <w:trHeight w:val="375" w:hRule="exact"/>
        </w:trPr>
        <w:tc>
          <w:tcPr>
            <w:tcW w:w="10710" w:type="dxa"/>
            <w:gridSpan w:val="10"/>
            <w:shd w:val="clear" w:color="auto" w:fill="auto"/>
            <w:textDirection w:val="lrTb"/>
            <w:vAlign w:val="bottom"/>
          </w:tcPr>
          <w:p>
            <w:pPr>
              <w:jc w:val="left"/>
              <w:rPr>
                <w:rFonts w:ascii="Times New Roman" w:hAnsi="Times New Roman"/>
                <w:sz w:val="28"/>
                <w:szCs w:val="28"/>
              </w:rPr>
            </w:pPr>
            <w:r>
              <w:rPr>
                <w:rFonts w:ascii="Times New Roman" w:hAnsi="Times New Roman"/>
                <w:sz w:val="28"/>
                <w:szCs w:val="28"/>
              </w:rPr>
              <w:t>Кайкова Ирина Владимировна, тел. 228-06-88</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