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5000" w:type="pct"/>
        <w:tblLayout w:type="fixed"/>
        <w:tblCellMar>
          <w:left w:w="0" w:type="dxa"/>
          <w:right w:w="0" w:type="dxa"/>
        </w:tblCellMar>
        <w:tblLook w:val="04A0"/>
      </w:tblPr>
      <w:tblGrid>
        <w:gridCol w:w="945"/>
        <w:gridCol w:w="2535"/>
        <w:gridCol w:w="3315"/>
        <w:gridCol w:w="1125"/>
        <w:gridCol w:w="1275"/>
        <w:gridCol w:w="1470"/>
        <w:gridCol w:w="2100"/>
        <w:gridCol w:w="1995"/>
        <w:gridCol w:w="1650"/>
        <w:gridCol w:w="1905"/>
      </w:tblGrid>
      <w:tr>
        <w:trPr>
          <w:cantSplit/>
          <w:trHeight w:val="0" w:hRule="auto"/>
        </w:trPr>
        <w:tc>
          <w:tcPr>
            <w:tcW w:w="6795" w:type="dxa"/>
            <w:gridSpan w:val="3"/>
            <w:shd w:val="clear" w:color="auto" w:fill="auto"/>
            <w:textDirection w:val="lrTb"/>
            <w:vAlign w:val="bottom"/>
          </w:tcPr>
          <w:p>
            <w:pPr>
              <w:spacing w:after="0"/>
              <w:wordWrap w:val="1"/>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textDirection w:val="lrTb"/>
            <w:vAlign w:val="bottom"/>
          </w:tcPr>
          <w:p>
            <w:pPr>
              <w:spacing w:after="0"/>
              <w:jc w:val="left"/>
            </w:pPr>
          </w:p>
        </w:tc>
        <w:tc>
          <w:tcPr>
            <w:tcW w:w="2745" w:type="dxa"/>
            <w:gridSpan w:val="2"/>
            <w:shd w:val="clear" w:color="auto" w:fill="auto"/>
            <w:textDirection w:val="lrTb"/>
            <w:vAlign w:val="bottom"/>
          </w:tcPr>
          <w:p>
            <w:pPr>
              <w:spacing w:after="0"/>
              <w:jc w:val="center"/>
            </w:pPr>
            <w:r>
              <w:rPr>
                <w:rFonts w:ascii="Times New Roman" w:hAnsi="Times New Roman"/>
                <w:sz w:val="24"/>
                <w:szCs w:val="24"/>
              </w:rPr>
              <w:t>Руководителю </w:t>
            </w: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Краевая клиническая больница</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ул. П. Железняка, 3, г. Красноярск, 660022</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Телефон: 8 (391) 226-99-97</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Факс: 8 (391) 220-16-23</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Е-mail: kkb@ medqorod. ru</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Http://www.medgorod.ru</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ОКПО 01913234</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ИНН/КПП 2465030876/246501001</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03.03.2023 г. №.__________</w:t>
            </w:r>
          </w:p>
        </w:tc>
        <w:tc>
          <w:tcPr>
            <w:tcW w:w="11520" w:type="dxa"/>
            <w:gridSpan w:val="7"/>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На №_________ от ________________</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О коммерческом предложении</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2765" w:type="dxa"/>
            <w:gridSpan w:val="7"/>
            <w:shd w:val="clear" w:color="auto" w:fill="auto"/>
            <w:textDirection w:val="lrTb"/>
            <w:vAlign w:val="bottom"/>
          </w:tcPr>
          <w:p>
            <w:pPr>
              <w:spacing w:after="0"/>
              <w:jc w:val="center"/>
            </w:pPr>
            <w:r>
              <w:rPr>
                <w:rFonts w:ascii="Times New Roman" w:hAnsi="Times New Roman"/>
                <w:b/>
                <w:sz w:val="28"/>
                <w:szCs w:val="28"/>
              </w:rPr>
              <w:t>Уважаемые господа!</w:t>
            </w: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Код вида МИ</w:t>
            </w: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Контур дыхательный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Одноразовый дыхательный контур для высокопоточной кислородной терапии, используется вместе с генератором высокого назального потока. Контур должен состоять из обогреваемой дыхательной трубки для подачи увлажненных респираторных газов и камеры для воды. В состав должны входить самозаполняемая универсальная камера увлажнителя для подачи пациенту оптимально увлажненной дыхательной смеси (37 градусов С, 44 мг/л H2O) с автоматическим заполнением через встроенную линию подачи воды, защищённую колпачком при транспортировке, с держателем для хранения линии подачи воды в свёрнутом состоянии в верхней части камеры. Камера должна иметь безопасный механизм защиты от переполнения и поддержания постоянного уровня воды представленный двойной поплавковой системой. Камера должна быть оснащена индикатором оптимального уровня жидкости и индикатором работоспособности камеры. Порты камеры должны быть закрыты транспортировочной заглушкой. Камера должна иметь постоянный объем сжатия. Номинальный объем камеры не менее 265 мл и не более 285 мл, максимальный объем камеры не более 380 мл. Максимальный объем воды должен составлять не менее 160 мл. Растяжимость емкости увлажнителя должна быть не более 0,5 мл/см Н2О. Максимальное рабочее давление не менее 6 кПа. Сопротивление потоку 60 л/мин: 0,52 см Н2О, утечка газа &lt;100 мл/мин, максимальный пиковый поток должен составлять не менее 170 л/мин (без вероятности разбрызгивания воды). Нагревающая пластина камеры должна быть изготовлена из анодированного алюминия, корпус камеры – из АБС полилака и полистирола/К- ресина, поплавковая система – из полипропилена, клапанное устройство – из силикона. Контур должен представлять собой нагреваемую двойным спиральным проводом дыхательную трубку со встроенным датчиком температуры для подачи увлажненных респираторных газов. С одной стороны дыхательной трубки должна быть подвижная муфта с внутренним диаметром не менее 24 мм и не более 28 мм, подключаемая к аппарату для дальнейшего поддержания необходимой температуры внутри контура. Цветовая кодировка муфты – синий цвет. Другая сторона должна быть в виде специфичного коннектора с внутренним диаметром не менее 9 мм и не более 14 мм для подключения интерфейса пациента. Дыхательная трубка должна быть снабжена зажимом для фиксации на одежде или постельном белье. Длина контура без интерфейса должна составлять 1,8 м. Диаметр дыхательной линии - 22 мм. Контур не должен содержать латекс. Максимальный срок эксплуатации контура у одного пациента должен составлять не менее 14 дней. Индивидуальная клинически чистая упаковка. Контур должен быть совместим с генераторами высокого назального потока AIRVO/AIRVO 2, имеющимися у Заказчика. Количество в упаковке: не менее 10 шт.</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Канюля назальная</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Одноразовая назальная взрослая канюля  для удобной и эффективной доставки оптимально увлажненной дыхательной смеси с варьированием потока при проведении респираторной терапии. Назальная канюля с широким отверстием в виде нестерильной полужёсткой трубки для введения в ноздри пациента, фиксироваться на шее при помощи эластичного шнура. Данное медицинское изделие может быть использовано в различных видах терапии дыхательных системы, включая высокоскоростной назальный поток, низкоскоростной поток кислорода и увлажняющую терапию. Компоненты системы: Мягкие назальный канюли анатомической формы; Гибкая, устойчивая к перекручиванию, дыхательная трубка 22 мм; Шарнирный коннектор со внутренней резьбой серого цвета; Гибкая шарнирная рукоятка белого цвета; Шнур синего цвета для крепления на шее пациента с разъемной клипсой; Защелка назальной канюли; Эластичный головной ремень. Технические характеристики: В системе с увлажнителем и контуром, диапазон допустимого потока составляет: от 10 до 50 л/мин. Сопротивление при скорости потока 40 л/мин.: 1.14 кПа (11.6 см H2O). Размер (S) Маленький, диаметр назальных трубок не менее 4 мм не более 5 мм, расстояние между назальными трубками не менее 9 мм и не более 10 мм. Диапазон температур окружающей среды – 18-280. Длина системы от канюли до коннектора не менее 320 мм и не более 325 мм. Максимальный срок эксплуатации одним пациентом - 7 дней. Трубка должна быть гибкой, изготовленой на основе полупроницаемой мембраны на основе микроячеистой технологии - проницаема для паров воды, непроницаема для газов. Канюля должна быть совместима с увлажнителем Fisher&amp;Paykel Airvo2, и контурами 900PT500 и 900PT501, имеющимися у Заказчика. Условия производства: Изготовлено в условиях контролируемой производственной среды (чистое помещение). Каждая канюля клинически чисто упакована. Количество в упаковке: 20 шт.</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3</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Соединение трахеостомическое</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Соединение трахеостомическое для неинвазивной высокопоточной оксигенотерапии. Представляет собой трахеостомический коннектор с дыхательной трубкой. Дыхательная трубка изготовлена из армированной полупроницаемой мембраны на основе микроячеистой технологии, проницаема для паров воды и непроницаема для газов. Длина трубки должна составлять не менее 31 см и не более 34 см. Со стороны аппарата коннектор должен иметь двойной внешний шарнир 22 мм и внутренний шарнир с резьбой. Диаметр внутреннего шарнира не менее 7 мм и не более 9 мм. Со стороны пациента коннектор должен иметь отверстие для выдоха и аспирации мокроты, оснащенное съемным капюшоном высотой не более 35 мм, шириной не менее 33,5 мм и не более 37,5 мм. Капюшон должен вращаться на 360 градусов. Общая длина коннектора с капюшоном должна составлять не более 65 мм. Рабочие показатели влажности воздушной среды в соединении должны составлять не менее 33 мг/л. Общий диапазон скорости потока 10-60 л/мин. Сопротивление по потоку при его скорости 40 л/мин должно составлять 0,16 кПа (3 смH2O). В комплекте должен быть шнур для фиксации на шее пациента, изготовленный из нейлона и лайкры, длиной не менее 74 см. Максимальный срок использования трахеостомического соединения с генератором потока у одного пациента не более 7 дней. Материалы изготовления: полиэфир эфир эластомер, полиэтилен высокой плотности, полипропилен, термопластичный эластомер, полиэтилен высокой плотности. Не содержит латекса. Индивидуальная клинически чистая упаковка. Количество в упаковке не менее 20 шт. Соединение должно быть совместимо с генераторами высокого назального потока AIRVO 2, имеющимися у Заказчика.</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375" w:hRule="atLeast"/>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left"/>
            </w:pPr>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trPr>
          <w:cantSplit/>
          <w:trHeight w:val="120" w:hRule="atLeast"/>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cantSplit/>
          <w:trHeight w:val="120" w:hRule="atLeast"/>
        </w:trPr>
        <w:tc>
          <w:tcPr>
            <w:tcW w:w="945" w:type="dxa"/>
            <w:shd w:val="clear" w:color="auto" w:fill="auto"/>
            <w:textDirection w:val="lrTb"/>
            <w:vAlign w:val="bottom"/>
          </w:tcPr>
          <w:p>
            <w:pPr>
              <w:spacing w:after="0"/>
              <w:wordWrap w:val="1"/>
              <w:jc w:val="left"/>
            </w:pPr>
          </w:p>
        </w:tc>
        <w:tc>
          <w:tcPr>
            <w:tcW w:w="2535" w:type="dxa"/>
            <w:shd w:val="clear" w:color="auto" w:fill="auto"/>
            <w:textDirection w:val="lrTb"/>
            <w:vAlign w:val="bottom"/>
          </w:tcPr>
          <w:p>
            <w:pPr>
              <w:spacing w:after="0"/>
              <w:wordWrap w:val="1"/>
              <w:jc w:val="left"/>
            </w:pPr>
          </w:p>
        </w:tc>
        <w:tc>
          <w:tcPr>
            <w:tcW w:w="3315" w:type="dxa"/>
            <w:shd w:val="clear" w:color="auto" w:fill="auto"/>
            <w:textDirection w:val="lrTb"/>
            <w:vAlign w:val="bottom"/>
          </w:tcPr>
          <w:p>
            <w:pPr>
              <w:spacing w:after="0"/>
              <w:wordWrap w:val="1"/>
              <w:jc w:val="left"/>
            </w:pPr>
          </w:p>
        </w:tc>
        <w:tc>
          <w:tcPr>
            <w:tcW w:w="1125" w:type="dxa"/>
            <w:shd w:val="clear" w:color="auto" w:fill="auto"/>
            <w:textDirection w:val="lrTb"/>
            <w:vAlign w:val="bottom"/>
          </w:tcPr>
          <w:p>
            <w:pPr>
              <w:spacing w:after="0"/>
              <w:wordWrap w:val="1"/>
              <w:jc w:val="left"/>
            </w:pPr>
          </w:p>
        </w:tc>
        <w:tc>
          <w:tcPr>
            <w:tcW w:w="1275" w:type="dxa"/>
            <w:shd w:val="clear" w:color="auto" w:fill="auto"/>
            <w:textDirection w:val="lrTb"/>
            <w:vAlign w:val="bottom"/>
          </w:tcPr>
          <w:p>
            <w:pPr>
              <w:spacing w:after="0"/>
              <w:wordWrap w:val="1"/>
              <w:jc w:val="left"/>
            </w:pPr>
          </w:p>
        </w:tc>
        <w:tc>
          <w:tcPr>
            <w:tcW w:w="1470" w:type="dxa"/>
            <w:shd w:val="clear" w:color="auto" w:fill="auto"/>
            <w:textDirection w:val="lrTb"/>
            <w:vAlign w:val="bottom"/>
          </w:tcPr>
          <w:p>
            <w:pPr>
              <w:spacing w:after="0"/>
              <w:wordWrap w:val="1"/>
              <w:jc w:val="left"/>
            </w:pPr>
          </w:p>
        </w:tc>
        <w:tc>
          <w:tcPr>
            <w:tcW w:w="2100" w:type="dxa"/>
            <w:shd w:val="clear" w:color="auto" w:fill="auto"/>
            <w:textDirection w:val="lrTb"/>
            <w:vAlign w:val="bottom"/>
          </w:tcPr>
          <w:p>
            <w:pPr>
              <w:spacing w:after="0"/>
              <w:wordWrap w:val="1"/>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trPr>
          <w:cantSplit/>
          <w:trHeight w:val="165" w:hRule="atLeast"/>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 xml:space="preserve">       Предложения принимаются в срок до 09.03.2023 17:00:00 по местному времени. </w:t>
            </w: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Руководитель контрактной службы________________________/Алешечкина Е.А./</w:t>
            </w: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Исполнитель:</w:t>
            </w: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Белова Марина Георгиевна,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