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280"/>
        <w:gridCol w:w="3402"/>
        <w:gridCol w:w="567"/>
        <w:gridCol w:w="709"/>
        <w:gridCol w:w="992"/>
        <w:gridCol w:w="851"/>
        <w:gridCol w:w="992"/>
        <w:gridCol w:w="850"/>
        <w:gridCol w:w="709"/>
      </w:tblGrid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RPr="001616DF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Pr="001616DF" w:rsidRDefault="00555A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16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Pr="001616DF" w:rsidRDefault="00D910A0">
            <w:pPr>
              <w:spacing w:after="0"/>
              <w:rPr>
                <w:lang w:val="en-US"/>
              </w:rPr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1616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  <w:r w:rsidR="00555A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5A38">
              <w:rPr>
                <w:rFonts w:ascii="Times New Roman" w:hAnsi="Times New Roman"/>
                <w:sz w:val="24"/>
                <w:szCs w:val="24"/>
              </w:rPr>
              <w:t>25 г. №.</w:t>
            </w:r>
            <w:r>
              <w:rPr>
                <w:rFonts w:ascii="Times New Roman" w:hAnsi="Times New Roman"/>
                <w:sz w:val="24"/>
                <w:szCs w:val="24"/>
              </w:rPr>
              <w:t>224-2025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34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Кол-во, </w:t>
            </w:r>
            <w:proofErr w:type="spellStart"/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Цена, рублей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Остаточный срок годности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ОКПД2\КТРУ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0A0" w:rsidRPr="001616DF" w:rsidRDefault="00555A38">
            <w:pPr>
              <w:spacing w:after="0"/>
              <w:jc w:val="center"/>
              <w:rPr>
                <w:highlight w:val="yellow"/>
              </w:rPr>
            </w:pPr>
            <w:r w:rsidRPr="001616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вида МИ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5Fr, длина 11 см, проводник 0,025"</w:t>
            </w:r>
          </w:p>
        </w:tc>
        <w:tc>
          <w:tcPr>
            <w:tcW w:w="34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с боковым полиуретановым портом для промывания, гемостатическим клапаном, 3-х ходовым краником и иглой.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илататор снабжен механизмом защелкивания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минимизация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протекания крови и соскальзывания дилататора. Линия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ататора, обтуратора и проводника 0.025" (0.64мм),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см. Материал проводника нержавеющая сталь, проводник имеет два рабочих кончика: гибкий J-кончик 3мм и прямой гибкий кончик. Металлическая игла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4.0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диаметром 20 G. Наличие цветовой ко</w:t>
            </w:r>
            <w:r>
              <w:rPr>
                <w:rFonts w:ascii="Times New Roman" w:hAnsi="Times New Roman"/>
                <w:sz w:val="24"/>
                <w:szCs w:val="24"/>
              </w:rPr>
              <w:t>дировки втулки -  желтый  (20G). Материал канюли нержавеющая сталь. Наличие силиконового покрытия всей поверхности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диагностический 5F/100 см/FR4.0</w:t>
            </w:r>
          </w:p>
        </w:tc>
        <w:tc>
          <w:tcPr>
            <w:tcW w:w="34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Многослойная структура стенки катетера: наружный слой полиэтил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ен, средний слой – двойная металлическая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-устойчивого материала. Совместимость с проводником 0.035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Минимальная пропускная способности при максимальном давлении не менее 19,8 мл/с. Длина 100 см. Стерильный. Одноразовый. Требуемый </w:t>
            </w:r>
            <w:r>
              <w:rPr>
                <w:rFonts w:ascii="Times New Roman" w:hAnsi="Times New Roman"/>
                <w:sz w:val="24"/>
                <w:szCs w:val="24"/>
              </w:rPr>
              <w:t>размер: 5F/JR4.0.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см/FL3.5</w:t>
            </w:r>
          </w:p>
        </w:tc>
        <w:tc>
          <w:tcPr>
            <w:tcW w:w="34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Многослойная структура стенки катетера: наружный слой полиэтилен, средний слой – двойная металлическая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Совместимость с проводником 0.035".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Минимальная пропускная способности при максимальном давлении не мене</w:t>
            </w:r>
            <w:r>
              <w:rPr>
                <w:rFonts w:ascii="Times New Roman" w:hAnsi="Times New Roman"/>
                <w:sz w:val="24"/>
                <w:szCs w:val="24"/>
              </w:rPr>
              <w:t>е 19,8 мл/с. Длина 100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Стерильный. Одноразовый. Требуемый размер: 5F/FL3.5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</w:t>
            </w:r>
          </w:p>
        </w:tc>
        <w:tc>
          <w:tcPr>
            <w:tcW w:w="34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</w:t>
            </w:r>
            <w:r>
              <w:rPr>
                <w:rFonts w:ascii="Times New Roman" w:hAnsi="Times New Roman"/>
                <w:sz w:val="24"/>
                <w:szCs w:val="24"/>
              </w:rPr>
              <w:t>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555A38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0A0" w:rsidRDefault="00D910A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.02.2025 17:00:00 по местному времени. 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555A38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910A0" w:rsidRDefault="00D910A0">
            <w:pPr>
              <w:spacing w:after="0"/>
            </w:pP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10A0" w:rsidTr="00555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D910A0" w:rsidRDefault="00555A3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55A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A0"/>
    <w:rsid w:val="001616DF"/>
    <w:rsid w:val="00555A38"/>
    <w:rsid w:val="00D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CDD8"/>
  <w15:docId w15:val="{279735E4-0602-4444-8532-76E9F9B1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3</cp:revision>
  <dcterms:created xsi:type="dcterms:W3CDTF">2025-02-19T02:18:00Z</dcterms:created>
  <dcterms:modified xsi:type="dcterms:W3CDTF">2025-02-19T02:28:00Z</dcterms:modified>
</cp:coreProperties>
</file>