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CellMar>
          <w:top w:w="0" w:type="dxa"/>
          <w:left w:w="28" w:type="dxa"/>
          <w:bottom w:w="0" w:type="dxa"/>
          <w:right w:w="28" w:type="dxa"/>
        </w:tblCellMar>
        <w:tblLook w:val="04A0"/>
      </w:tblPr>
      <w:tblGrid>
        <w:gridCol w:w="945"/>
        <w:gridCol w:w="2533"/>
        <w:gridCol w:w="3321"/>
        <w:gridCol w:w="1116"/>
        <w:gridCol w:w="1286"/>
        <w:gridCol w:w="1470"/>
        <w:gridCol w:w="2087"/>
        <w:gridCol w:w="1995"/>
        <w:gridCol w:w="1654"/>
        <w:gridCol w:w="1903"/>
      </w:tblGrid>
      <w:tr>
        <w:trPr>
          <w:trHeight w:val="60" w:hRule="atLeast"/>
        </w:trPr>
        <w:tc>
          <w:tcPr>
            <w:tcW w:w="6799" w:type="dxa"/>
            <w:gridSpan w:val="3"/>
            <w:shd w:val="clear" w:color="FFFFFF"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textDirection w:val="lrTb"/>
            <w:vAlign w:val="bottom"/>
          </w:tcPr>
          <w:p>
            <w:pPr>
              <w:jc w:val="left"/>
              <w:rPr>
                <w:rFonts w:ascii="Times New Roman" w:hAnsi="Times New Roman"/>
                <w:sz w:val="24"/>
                <w:szCs w:val="24"/>
              </w:rPr>
            </w:pPr>
          </w:p>
        </w:tc>
        <w:tc>
          <w:tcPr>
            <w:tcW w:w="2756" w:type="dxa"/>
            <w:gridSpan w:val="2"/>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17.12.2021 г. №.2027-2021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2758" w:type="dxa"/>
            <w:gridSpan w:val="7"/>
            <w:shd w:val="clear" w:color="FFFFFF"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ОКПД2\КТРУ</w:t>
            </w: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Код вида МИ</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Азопирам (для контроля предстерилизационной очистки)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Порошкообразный реактив на 100 мл готового раствора (срок хранения раствора - 1 месяц). Предназначен для определения следов крови, следов ржавчины, стирального порошка с отбеливателями, окислителей (хлорамина, хлорной извести, хромовой смеси и др.), пероксидаз растительного происхождения (растительных остатков) и кислот на изделиях медицинского назначения при контроле качества их предстерилизационной очистки.  Остаточный срок годности на момент поставки должен быть не менее 80% от указанного производителем.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Стериконт – В –180/60-01-1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Класс не ниже 4 по ГОСТ Р ИСО 11140-1-2009 - многопеременные индикаторы, предназначен для визуального контроля соблюдения не менее трех критических переменных паровой стерилизации – температуры стерилизации, времени стерилизационной выдержки и наличия насыщенного водяного пара  снаружи  бумажных, комбинированных упаковок, стерилизационных коробок, текстильных, металлических и других укладок в контрольных точках  стерилизационной камеры гравитационных паровых стерилизаторах. Контролируемый режим стерилизации в пределах: 180±2°С/60+2 минут  Индикатор прямоугольной формы на бумажно-пленочной основе с нанесением на лицевой стороне двух цветных меток - индикаторной и элемента сравнения того цвета, который приобретает первая при соблюдении параметров стерилизации и маркировки. Лицевая поверхность индикатора ламинирована паропроницаемой, водозащитной пленкой. Обратная сторона с липким слоем закрытым двумя половинками защитной бумаги. Производятся в листах с точечной перфорацией между индикаторами. Гарантийный срок не мене 36 месяцев. В упаковке должно быть 500  тестов в комплекте с журналом Ф.257/у. Наименование индикатора, вид стерилизации, класс по ГОСТ, дата изготовления, срок годности, номер партии, условия хранения, штамп ОТК и реквизиты предприятия-изготовителя должны быть указаны на упаковке индикатора.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Пакеты плоские для паровой стерилизации самоклеющиеся 130 х 250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Пакеты комбинированные (бумага-пленка) самоклеящиеся для паровой стерилизации предназначены для упаковывания изделий медицинского назначения перед стерилизацией с целью сохранения стерильности этих изделий после стерилизации, во время последующей их транспортировки и хранения до использования по назначению. Упаковка соответствует международному стандарту EN 868 и отвечает требованиям, предъявляемым к медицинским стерилизационным упаковочным материалам. Изготовлены из прозрачной окрашенной многослойной полимерной (полиэстер/полипропилен) пленки (прозрачная сторона) и специальной водоотталкивающей медицинской бумаги (непрозрачная сторона), соединенных термошвом. На выступающей части бумажной стороны пакета (клапане) нанесен липкий слой, закрытый защитной полоской бумаги, который позволяет герметично запечатывать пакеты без использования специального оборудования. На лицевой стороне нанесены обозначения: торговая марка, маркировка типоразмера, запрещение использования в случае повреждения упаковки, направление вскрытия упаковки при извлечении простерилизованного изделия, цветные химические индикаторы 3 шт. с описанием цвета, приобретаемого индикатором после стерилизации. Плотность бумажной основы – не менее 60г/м2. Количество слоев пленки не менее 5. Срок хранения изделий, простерилизованных в упаковке – не менее 2 лет. Срок годности упаковки не менее 5 лет. Продукция должна иметь сертификат соответствия и регистрационное удостоверение Минздрава РФ, а также методические указания по применению.</w:t>
              <w:br/>
              <w:t>
Размер: 130х250мм (±5мм), не менее 200 штук в упаковке.</w:t>
              <w:br/>
              <w:t>
</w:t>
              <w:br/>
              <w:t>
</w:t>
              <w:br/>
              <w:t>
</w:t>
              <w:br/>
              <w:t>
</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Пакеты самоклеющиеся "ПИК-ПАК"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Пакеты самоклеющиеся "ПИК-ПАК" ПС 90 х 250. В упаковке 200 штук.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Индикатор паровой стерилизации химический одноразовый 134/5 №1000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Класс не ниже 4 по ГОСТ Р ИСО 11140-1-2009 –многопеременные индикаторы, предназначен для визуального контроля соблюдения не менее трех критических переменных паровой стерилизации – температуры стерилизации, времени стерилизационной выдержки и наличия насыщенного водяного пара при размещении как снаружи упаковок и изделий в контрольных точках стерилизационной камеры, так и внутри бумажных, комбинированных упаковок, стерилизационных коробок, текстильных, металлических и других укладок, трубчатых или массивных трудно стерилизуемых изделий с полостями при их стерилизации в форвакуумных паровых стерилизаторах, изготовленных по ГОСТ Р 19569-89. Контролируемый режим стерилизации: 134±1°С/5+1 минут и давление пара 0,21±0,01 МПа. Индикатор прямоугольной формы на бумажно-пленочной основе с нанесенными на лицевой стороне двумя цветными метками - индикаторной и элемента сравнения того цвета, который приобретает первая при соблюдении параметров стерилизации, и маркировки. Индикаторный агент не должен отпечатываться от подложки, проникать через неё, переходить на материал, с которым индикатор может соприкасаться до, в течение или после соответствующего режима стерилизации. Лицевая поверхность ламинирована паропроницаемой, водозащитной пленкой. Обратная сторона с липким слоем для фиксации в месте контроля и документах архива, закрытым двумя половинками защитной бумаги. Производится в листах с точечной перфорацией между индикаторами. Гарантийный срок не менее 36 месяцев. Остаточный срок годности на момент поставки – не менее 80% . Поставляется комплектами по 1000  тестов с журналом Ф.257/у. Наименование индикатора, вид стерилизации, класс по ГОСТ, дата изготовления, срок годности, номер партии, условия хранения, штамп ОТК и реквизиты предприятия-изготовителя должны быть указаны на упаковке индикатора.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комплект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375"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31.12.2022, по заявкам заказчика..</w:t>
            </w:r>
          </w:p>
        </w:tc>
      </w:tr>
      <w:tr>
        <w:trPr>
          <w:trHeight w:val="12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atLeast"/>
        </w:trPr>
        <w:tc>
          <w:tcPr>
            <w:tcW w:w="945" w:type="dxa"/>
            <w:shd w:val="clear" w:color="FFFFFF" w:fill="auto"/>
            <w:textDirection w:val="lrTb"/>
            <w:vAlign w:val="bottom"/>
          </w:tcPr>
          <w:p>
            <w:pPr>
              <w:wordWrap w:val="1"/>
              <w:jc w:val="left"/>
              <w:rPr>
                <w:rFonts w:ascii="Times New Roman" w:hAnsi="Times New Roman"/>
                <w:sz w:val="28"/>
                <w:szCs w:val="28"/>
              </w:rPr>
            </w:pPr>
          </w:p>
        </w:tc>
        <w:tc>
          <w:tcPr>
            <w:tcW w:w="2533" w:type="dxa"/>
            <w:shd w:val="clear" w:color="FFFFFF" w:fill="auto"/>
            <w:textDirection w:val="lrTb"/>
            <w:vAlign w:val="bottom"/>
          </w:tcPr>
          <w:p>
            <w:pPr>
              <w:wordWrap w:val="1"/>
              <w:jc w:val="left"/>
              <w:rPr>
                <w:rFonts w:ascii="Times New Roman" w:hAnsi="Times New Roman"/>
                <w:sz w:val="28"/>
                <w:szCs w:val="28"/>
              </w:rPr>
            </w:pPr>
          </w:p>
        </w:tc>
        <w:tc>
          <w:tcPr>
            <w:tcW w:w="3321" w:type="dxa"/>
            <w:shd w:val="clear" w:color="FFFFFF" w:fill="auto"/>
            <w:textDirection w:val="lrTb"/>
            <w:vAlign w:val="bottom"/>
          </w:tcPr>
          <w:p>
            <w:pPr>
              <w:wordWrap w:val="1"/>
              <w:jc w:val="left"/>
              <w:rPr>
                <w:rFonts w:ascii="Times New Roman" w:hAnsi="Times New Roman"/>
                <w:sz w:val="28"/>
                <w:szCs w:val="28"/>
              </w:rPr>
            </w:pPr>
          </w:p>
        </w:tc>
        <w:tc>
          <w:tcPr>
            <w:tcW w:w="1116" w:type="dxa"/>
            <w:shd w:val="clear" w:color="FFFFFF" w:fill="auto"/>
            <w:textDirection w:val="lrTb"/>
            <w:vAlign w:val="bottom"/>
          </w:tcPr>
          <w:p>
            <w:pPr>
              <w:wordWrap w:val="1"/>
              <w:jc w:val="left"/>
              <w:rPr>
                <w:rFonts w:ascii="Times New Roman" w:hAnsi="Times New Roman"/>
                <w:sz w:val="28"/>
                <w:szCs w:val="28"/>
              </w:rPr>
            </w:pPr>
          </w:p>
        </w:tc>
        <w:tc>
          <w:tcPr>
            <w:tcW w:w="1286" w:type="dxa"/>
            <w:shd w:val="clear" w:color="FFFFFF" w:fill="auto"/>
            <w:textDirection w:val="lrTb"/>
            <w:vAlign w:val="bottom"/>
          </w:tcPr>
          <w:p>
            <w:pPr>
              <w:wordWrap w:val="1"/>
              <w:jc w:val="left"/>
              <w:rPr>
                <w:rFonts w:ascii="Times New Roman" w:hAnsi="Times New Roman"/>
                <w:sz w:val="28"/>
                <w:szCs w:val="28"/>
              </w:rPr>
            </w:pPr>
          </w:p>
        </w:tc>
        <w:tc>
          <w:tcPr>
            <w:tcW w:w="1470" w:type="dxa"/>
            <w:shd w:val="clear" w:color="FFFFFF" w:fill="auto"/>
            <w:textDirection w:val="lrTb"/>
            <w:vAlign w:val="bottom"/>
          </w:tcPr>
          <w:p>
            <w:pPr>
              <w:wordWrap w:val="1"/>
              <w:jc w:val="left"/>
              <w:rPr>
                <w:rFonts w:ascii="Times New Roman" w:hAnsi="Times New Roman"/>
                <w:sz w:val="28"/>
                <w:szCs w:val="28"/>
              </w:rPr>
            </w:pPr>
          </w:p>
        </w:tc>
        <w:tc>
          <w:tcPr>
            <w:tcW w:w="2087" w:type="dxa"/>
            <w:shd w:val="clear" w:color="FFFFFF" w:fill="auto"/>
            <w:textDirection w:val="lrTb"/>
            <w:vAlign w:val="bottom"/>
          </w:tcPr>
          <w:p>
            <w:pPr>
              <w:wordWrap w:val="1"/>
              <w:jc w:val="left"/>
              <w:rPr>
                <w:rFonts w:ascii="Times New Roman" w:hAnsi="Times New Roman"/>
                <w:sz w:val="28"/>
                <w:szCs w:val="28"/>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atLeast"/>
        </w:trPr>
        <w:tc>
          <w:tcPr>
            <w:tcW w:w="945" w:type="dxa"/>
            <w:shd w:val="clear" w:color="FFFFFF" w:fill="auto"/>
            <w:textDirection w:val="lrTb"/>
            <w:vAlign w:val="bottom"/>
          </w:tcPr>
          <w:p>
            <w:pPr>
              <w:jc w:val="left"/>
              <w:rPr>
                <w:rFonts w:ascii="Arial" w:hAnsi="Arial"/>
                <w:sz w:val="16"/>
                <w:szCs w:val="16"/>
              </w:rPr>
            </w:pPr>
          </w:p>
        </w:tc>
        <w:tc>
          <w:tcPr>
            <w:tcW w:w="2533" w:type="dxa"/>
            <w:shd w:val="clear" w:color="FFFFFF" w:fill="auto"/>
            <w:textDirection w:val="lrTb"/>
            <w:vAlign w:val="bottom"/>
          </w:tcPr>
          <w:p>
            <w:pPr>
              <w:jc w:val="left"/>
              <w:rPr>
                <w:rFonts w:ascii="Arial" w:hAnsi="Arial"/>
                <w:sz w:val="16"/>
                <w:szCs w:val="16"/>
              </w:rPr>
            </w:pPr>
          </w:p>
        </w:tc>
        <w:tc>
          <w:tcPr>
            <w:tcW w:w="3321" w:type="dxa"/>
            <w:shd w:val="clear" w:color="FFFFFF" w:fill="auto"/>
            <w:textDirection w:val="lrTb"/>
            <w:vAlign w:val="bottom"/>
          </w:tcPr>
          <w:p>
            <w:pPr>
              <w:jc w:val="left"/>
              <w:rPr>
                <w:rFonts w:ascii="Arial" w:hAnsi="Arial"/>
                <w:sz w:val="16"/>
                <w:szCs w:val="16"/>
              </w:rPr>
            </w:pPr>
          </w:p>
        </w:tc>
        <w:tc>
          <w:tcPr>
            <w:tcW w:w="1116" w:type="dxa"/>
            <w:shd w:val="clear" w:color="FFFFFF" w:fill="auto"/>
            <w:textDirection w:val="lrTb"/>
            <w:vAlign w:val="bottom"/>
          </w:tcPr>
          <w:p>
            <w:pPr>
              <w:jc w:val="left"/>
              <w:rPr>
                <w:rFonts w:ascii="Arial" w:hAnsi="Arial"/>
                <w:sz w:val="16"/>
                <w:szCs w:val="16"/>
              </w:rPr>
            </w:pPr>
          </w:p>
        </w:tc>
        <w:tc>
          <w:tcPr>
            <w:tcW w:w="1286" w:type="dxa"/>
            <w:shd w:val="clear" w:color="FFFFFF" w:fill="auto"/>
            <w:textDirection w:val="lrTb"/>
            <w:vAlign w:val="bottom"/>
          </w:tcPr>
          <w:p>
            <w:pPr>
              <w:jc w:val="left"/>
              <w:rPr>
                <w:rFonts w:ascii="Arial" w:hAnsi="Arial"/>
                <w:sz w:val="16"/>
                <w:szCs w:val="16"/>
              </w:rPr>
            </w:pPr>
          </w:p>
        </w:tc>
        <w:tc>
          <w:tcPr>
            <w:tcW w:w="1470" w:type="dxa"/>
            <w:shd w:val="clear" w:color="FFFFFF" w:fill="auto"/>
            <w:textDirection w:val="lrTb"/>
            <w:vAlign w:val="bottom"/>
          </w:tcPr>
          <w:p>
            <w:pPr>
              <w:jc w:val="left"/>
              <w:rPr>
                <w:rFonts w:ascii="Arial" w:hAnsi="Arial"/>
                <w:sz w:val="16"/>
                <w:szCs w:val="16"/>
              </w:rPr>
            </w:pPr>
          </w:p>
        </w:tc>
        <w:tc>
          <w:tcPr>
            <w:tcW w:w="2087" w:type="dxa"/>
            <w:shd w:val="clear" w:color="FFFFFF" w:fill="auto"/>
            <w:textDirection w:val="lrTb"/>
            <w:vAlign w:val="bottom"/>
          </w:tcPr>
          <w:p>
            <w:pPr>
              <w:jc w:val="left"/>
              <w:rPr>
                <w:rFonts w:ascii="Arial" w:hAnsi="Arial"/>
                <w:sz w:val="16"/>
                <w:szCs w:val="16"/>
              </w:rPr>
            </w:pPr>
          </w:p>
        </w:tc>
        <w:tc>
          <w:tcPr>
            <w:tcW w:w="1995" w:type="dxa"/>
            <w:shd w:val="clear" w:color="FFFFFF" w:fill="auto"/>
            <w:textDirection w:val="lrTb"/>
            <w:vAlign w:val="bottom"/>
          </w:tcPr>
          <w:p>
            <w:pPr>
              <w:jc w:val="left"/>
              <w:rPr>
                <w:rFonts w:ascii="Arial" w:hAnsi="Arial"/>
                <w:sz w:val="16"/>
                <w:szCs w:val="16"/>
              </w:rPr>
            </w:pPr>
          </w:p>
        </w:tc>
        <w:tc>
          <w:tcPr>
            <w:tcW w:w="1654" w:type="dxa"/>
            <w:shd w:val="clear" w:color="FFFFFF" w:fill="auto"/>
            <w:textDirection w:val="lrTb"/>
            <w:vAlign w:val="bottom"/>
          </w:tcPr>
          <w:p>
            <w:pPr>
              <w:jc w:val="left"/>
              <w:rPr>
                <w:rFonts w:ascii="Arial" w:hAnsi="Arial"/>
                <w:sz w:val="16"/>
                <w:szCs w:val="16"/>
              </w:rPr>
            </w:pPr>
          </w:p>
        </w:tc>
        <w:tc>
          <w:tcPr>
            <w:tcW w:w="1903" w:type="dxa"/>
            <w:shd w:val="clear" w:color="FFFFFF" w:fill="auto"/>
            <w:textDirection w:val="lrTb"/>
            <w:vAlign w:val="bottom"/>
          </w:tcPr>
          <w:p>
            <w:pPr>
              <w:jc w:val="left"/>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22.12.2021 17:00:00 по местному времени. </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