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Секция нагревательная кабельная 25-10 (без регулятора)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Секция нагревательная кабельная 25-10 (без регулятора)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алюминиевая самоклеящаяся 50мм х50м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алюминиевая самоклеящаяся K-FLEX ALU АА 130 изготавливается из алюминиевой фольги с акриловым клеевым слоем постоянной липкости и предназначена для проклейки швов изделий с алюминизированными покрытиями ALU, METAL.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толщина, мкм  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  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    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основы, мкм 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клеевого слоя, мкм  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клеевого слоя   Акриловый клей на основе растворителя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Прочность на разрыв 40 Н/25 мм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Адгезия клеевого слоя к стальной поверхности    18 Н/25 мм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температур монтажа от 5 до 30 °C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(эксплуатации)  от -35 до 90 °С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серебристый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Нить для герметизации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Длинна не менее 5000 см., в пластиковом боксе. Резьбовой герметик на основе фторопластовых нитей.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16.12.2022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