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80"/>
        <w:gridCol w:w="1950"/>
        <w:gridCol w:w="662"/>
        <w:gridCol w:w="750"/>
        <w:gridCol w:w="865"/>
        <w:gridCol w:w="1235"/>
        <w:gridCol w:w="1173"/>
        <w:gridCol w:w="971"/>
        <w:gridCol w:w="1121"/>
      </w:tblGrid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16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2-2025 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97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750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погрузчика ТО-50 м/ч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5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погрузчика ТО-50 м/ч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2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7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8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662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7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86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1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2025-01-09T09:56:14Z</dcterms:modified>
</cp:coreProperties>
</file>