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2"/>
        <w:gridCol w:w="277"/>
        <w:gridCol w:w="392"/>
        <w:gridCol w:w="1370"/>
        <w:gridCol w:w="186"/>
        <w:gridCol w:w="1532"/>
        <w:gridCol w:w="395"/>
        <w:gridCol w:w="243"/>
        <w:gridCol w:w="159"/>
        <w:gridCol w:w="707"/>
        <w:gridCol w:w="75"/>
        <w:gridCol w:w="537"/>
        <w:gridCol w:w="195"/>
        <w:gridCol w:w="1004"/>
        <w:gridCol w:w="949"/>
        <w:gridCol w:w="116"/>
        <w:gridCol w:w="696"/>
        <w:gridCol w:w="358"/>
        <w:gridCol w:w="531"/>
        <w:gridCol w:w="643"/>
        <w:gridCol w:w="422"/>
      </w:tblGrid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RP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 w:rsidP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№.1714-2021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4259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CF59E5" w:rsidTr="002647C0">
        <w:trPr>
          <w:trHeight w:val="60"/>
        </w:trPr>
        <w:tc>
          <w:tcPr>
            <w:tcW w:w="8114" w:type="dxa"/>
            <w:gridSpan w:val="16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CF59E5" w:rsidTr="002647C0">
        <w:trPr>
          <w:trHeight w:val="60"/>
        </w:trPr>
        <w:tc>
          <w:tcPr>
            <w:tcW w:w="10829" w:type="dxa"/>
            <w:gridSpan w:val="21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/эквивалент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Остаточный срок годности</w:t>
            </w: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ОКПД2\КТРУ</w:t>
            </w: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вида МИ</w:t>
            </w: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кардиоимплантов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7Fr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Разрывной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диаметром 7Fr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сосуда, в левое предсердие.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Размеры: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орошаемой контактной РЧА,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7,5F, D, 115см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миокардом, </w:t>
            </w:r>
            <w:r>
              <w:rPr>
                <w:rFonts w:ascii="Times New Roman" w:hAnsi="Times New Roman"/>
                <w:sz w:val="24"/>
                <w:szCs w:val="24"/>
              </w:rPr>
              <w:t>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 мм. Типы 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визны D \F \ J \ J \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термопара. Совместимость со специализированным насосом для проведения «охлаждаемых» абляций по «открытому» контуру орошения. 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>со специализированным РЧ 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электрода 1,3 мм. Диаметр орошающих отверстий 0,41 мм. Общая площадь орошающих отверстий 0,78 мм2. Толщина стенки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электрода 0,1 мм. Расположение навигационного датчика в центре дистального электрода.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абочей части катетера 16. Материал вводимой части катетера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F, 115см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Электрод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миокардом, в граммах. Специальный канал для подвода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охлаждающего раствора к дистальному электроду. Диаметр электрода 7,5F. Электромагнитные сенсоры в дистальном электроде катетера. Сенсор в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димой части катетера 115 см. Длина дистального электрода 3,5 мм. Типы кривизны D \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\  J.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термопара. Совместимость со специализированным насосом для проведения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хлаждаемых» абляций по «открытому» контуру орошения. Совместимость со специализированным РЧ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электрода 1,3 мм. Диаметр орошающих отверстий 0,41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площадь орошающих отверстий 0,78 мм2. Толщина стенки дистального электрода 0,1 мм. Расположение навигационного датчика в центре дистального электрода. Возможность одновременной регистрации биполярный и униполярных сигналов. Материал электродов плати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ново-иридиевый сплав. Оплетка вводимой части катетера 32. Оплетка рабочей части катетера 16. 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ге. Диаметр компрессионной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пружины 0,1 мм. Система контроля, регулировки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тeрмопарой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плетеной дистальной частью 7F, C, 115см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неохлаждаемой» абляции. Диаметр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 D – 64 мм, Е – 64 мм, F – 76 мм. Датчик измерения температуры термопара. Совместимость со 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ным РЧ генератором. Совместимость с различными ЭФИ системами. Расстояние между центра</w:t>
            </w:r>
            <w:r>
              <w:rPr>
                <w:rFonts w:ascii="Times New Roman" w:hAnsi="Times New Roman"/>
                <w:sz w:val="24"/>
                <w:szCs w:val="24"/>
              </w:rPr>
              <w:t>ми электродов 2-5-2 мм. Ширина электрода 1,3 мм. Толщина стенки дистального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рабочей части катетера 32. 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катетера, отсутствие «скачков» и «мертвых зон» при перемещении рабочей части катетера.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ческий неуправляемый диагностический 5F, P-CS, 110см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Неизменяемая кривизна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электрода. Диаметр электрода 5F. Число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 F, 115см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6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115 см. Длина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электрода 1 мм. Типы кривизны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</w:t>
            </w:r>
            <w:r>
              <w:rPr>
                <w:rFonts w:ascii="Times New Roman" w:hAnsi="Times New Roman"/>
                <w:sz w:val="24"/>
                <w:szCs w:val="24"/>
              </w:rPr>
              <w:t>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Проводник коронарный диаметр 0.014, длина 190 см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Проводник коронарный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   Длина, см   175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Диаметр, дюйм   0,014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   Тип дистального покрытия    Гидрофильный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4   Длина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дистального покрытия, </w:t>
            </w:r>
            <w:proofErr w:type="gram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см  30</w:t>
            </w:r>
            <w:proofErr w:type="gramEnd"/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Система доставки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катетерная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гибкая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   Проводник: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длина, см   120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   диаметр, см (дюймы) 0,09 (0,035)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4   Материал    Нержавеющая сталь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5   Отклоняемый катетер: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6   длина, см   45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7   внутренний диаметр, </w:t>
            </w:r>
            <w:proofErr w:type="spellStart"/>
            <w:proofErr w:type="gram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7</w:t>
            </w:r>
            <w:proofErr w:type="gram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,2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8   внешний диаметр,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9  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Дилатор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10  длина, см   6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11  внешний диаметр,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12 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Слитер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13  Материал    нержавеющая сталь, поликарбонат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14  Размер электрода,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6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15  Игла, мм    1,2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16  Шприц, мл   10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физиологического раствора для насоса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Принадлежность </w:t>
            </w:r>
            <w:r>
              <w:rPr>
                <w:rFonts w:ascii="Times New Roman" w:hAnsi="Times New Roman"/>
                <w:sz w:val="24"/>
                <w:szCs w:val="24"/>
              </w:rPr>
              <w:t>насоса ирригационного для электрофизиологических процедур в кардиологии. Предназначен для подачи физиологического раствора на электрод для проведения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охлождаемой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абляции по "открытому" контуру.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биполярной хирургической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абляции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Тип электрода – орошаемый - наличие. Длина электрода, см - 32. Тип зажима – с фиксацией -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наличие. Давление зажима на ткани в закрытом положении - 30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psi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Длина активных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бранш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см - 6. Электрод поставляется с 4-мя проводниками, предназначенными </w:t>
            </w:r>
            <w:proofErr w:type="gram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для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проведения</w:t>
            </w:r>
            <w:proofErr w:type="gram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электрода  в полость грудной клетки - наличие. Жесткие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бранши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 фиксаторами для проводника - наличие. Конструкция электрода – сплошная.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Аблация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ткани на всем протяжении электрода, отсутствие «мертвых» пространств – наличие. Материал электрода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пористый полимер. Возможность орошения электрода на всем его протяжении – наличие. Полностью подвижная шейка электрода - наличие. Кнопка подачи РЧА на рукоятке - наличие. Два варианта исполнения кривизны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бранш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- наличие. Принцип определения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трансмурально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сти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- определение сопротивления (импеданса) ткани. Измерение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сопротивления ткани, измерений/секунду - 5 000 000. Измерение мощности применяемой энергии, измерений/секунду - 20 000. Автоматический подбор мощности в зависимости от сопротивления тканей - нали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чие. Длина соединительного кабеля, см - 305. Длина трубки орошения, см - 305. Возможность применения при эндоскопических вмешательствах - наличие.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13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CapSure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Fix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Novus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5076-52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Эндокардиальный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стимуляционный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электрод 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коновая изоляция; диаметр не более 6,1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(2.0мм); длина не более 52 см; коннектор IS-1 BI; Стилеты в комплекте.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Стерильная упаковка, количество в упаковке: 1 шт.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14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CapSure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Fix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Novus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5076-58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Эндокардиальный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стимуляционный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электрод со стероидным наполнителем; биполярный; активная фиксация в желудочке;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ее 10 мм, силиконовая изоляция; диаметр не более 6,1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(2.0мм); длина не более 58 см; коннектор IS-1 BI; Стилеты в комплекте. Стерильная упаковка, количество в упаковке: 1 шт.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биполярный левожелудочковый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   Локализация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Эпикардиальная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вена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Тип разъема IS-1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   Материал </w:t>
            </w:r>
            <w:proofErr w:type="gram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изолятора  Комбинация</w:t>
            </w:r>
            <w:proofErr w:type="gram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силикон-полиуретан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   Фиксация за счет кривизны тела электрода    Соответствие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Электрод-накладка CARTO 3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должна быть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cARTO-3. Должна быть стерильна.</w:t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CF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trHeight w:val="60"/>
        </w:trPr>
        <w:tc>
          <w:tcPr>
            <w:tcW w:w="3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Кардиостимулятор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трехкамерный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ресинхронизирующей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терапии</w:t>
            </w:r>
          </w:p>
        </w:tc>
        <w:tc>
          <w:tcPr>
            <w:tcW w:w="19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Функциональные (назначение товара) и технические (размерный ряд, материал, состав) характеристики товара,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требования к упаковке.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Кардиостимулятор для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ресинхронизирующей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терапии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Consulta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CRT-P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   Объем, см3  15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Масса, г    26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   Размер,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ВхШхГ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, мм   57 х 59 х 6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4   Порт стимуляции/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сенсинга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3 порта IS-1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5   Внешние покрытия    Титан, нитрид титана, поли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уретан, силикон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6   Батарея Гибридная литий - серебро - оксид ванадия с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монофторуглеродом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7   Расчетный срок службы (100 %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бивентрикулярная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стимуляция в режиме DDD, средняя частота синхронизации –70 мин–1, нижняя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частота – 60 мин–1, длительность импульса –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0,4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мс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запись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эндограммы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 эпизода выключена, ПЖ 2,5 В; ЛЖ 3 В, импеданс – 500 ОМ) 7,7 лет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8   Режимы стимуляции   DDDR, DDD, DDIR, DDI, AAIR, AAI, VVIR, VVI, DOO, AOO, VOO, ODO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9   Максимальная частота отслеживания, уд\мин   210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10  Максимальная частот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 с сенсора, , уд\мин    175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11  Максимальная амплитуда импульса, В  8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12  ПЖПРП (минимальный) Авто (500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мс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13  Алгоритм избыточной стимуляции после переключения режима 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14  Возможность настройки двух независимых зон частотной адаптации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15  Автоматическое определение порога стимуляции и автоматическая подстройка амплитуды стимула в левом желудочке с возможностью работы в адаптивном режиме или в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режиме мониторинга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16  Автоматическое определение порога стимуляции и автоматическая п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одстройка амплитуды стимула в правом желудочке с возможностью работы в адаптивном режиме или в режиме мониторинга 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17  Автоматическое определение порога стимуляции и автоматическая подстройка амплитуды стимула в правом предсердии с возможностью р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аботы в адаптивном режиме или в режиме мониторинга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18  Полярность стимуляции левого желудочка 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LVtip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RVring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(ЛЖ кончик – ПЖ кольцо);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LVtip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Can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(ЛЖ кончик – корпус);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LVring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RVring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(ЛЖ кольцо – ПЖ кольцо);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LVring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Can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(ЛЖ кольцо – корпус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);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LVtip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LVring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(ЛЖ кончик –ЛЖ кольцо)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19  Алгоритм поддержки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бивентрикулярно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при ответе на воспринятое желудочковое событие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20  Максимальная частота при ответе на воспринятое желудочковое событие,  уд/мин    150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21  Алгоритм ответ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 на проведенную фибрилляцию предсердий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22  Количество уровней ответа на проведенную фибрилляцию предсердий 3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23  Алгоритм преимущественной стимуляции предсердий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24  Алгоритм стабилизации желудочкового ритма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25  Алгоритм неконку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рентной стимуляции предсердий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26  Алгоритм восстановления отслеживания предсердных событий 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27  Интервенция при тахикардии, вызванной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кардиостимуляцией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28  Ответ на желудочковую экстрасистолу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29  Алгоритм безопасной стим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уляции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желудочков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30  Алгоритм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детекции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купирования предсердных аритмий с помощью протоколов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антитахикардитической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31  Программируемая межжелудочковая задержка,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мсек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0 - 80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32  Возможность записи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безэлектродной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ЭКГ   Налич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33 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Дигностические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графики состояния пациента, включая данные о возможном накоплении жидкости в легочной ткани: за последние 14 месяцев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34  Возможность дополнительной записи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эндограммы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 начала тахикардии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35  Общее число сохраняемых э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пизодов ЭГМ    200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36  Общая длительность сохраненных эпизодов ЭГМ, минут  24,5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37  Функция автоматической настройки параметров под заданные 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клинические данные пациента 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38  Возможность распечатки данных на листе формата А4 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39  Возможно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сть подключения к системе удаленного мониторинга, зарегистрированной на территории РФ   Соответствие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40  Интерфейс и отчеты устройства на русском языке  Наличие</w:t>
            </w: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7C0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9E5" w:rsidRPr="002647C0" w:rsidRDefault="00CF59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375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20 декабря 2022 г., по заявке Заказчика.</w:t>
            </w: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12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2647C0" w:rsidRDefault="0026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12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2647C0" w:rsidRDefault="0026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165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г. 17:00:00 по местному времени. </w:t>
            </w: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2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7C0" w:rsidTr="002647C0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7C0" w:rsidRDefault="002647C0" w:rsidP="002647C0"/>
    <w:p w:rsidR="00000000" w:rsidRDefault="002647C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9E5"/>
    <w:rsid w:val="002647C0"/>
    <w:rsid w:val="00C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EB51-B616-477E-8F34-90E3E64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2021-10-22T11:01:00Z</dcterms:created>
  <dcterms:modified xsi:type="dcterms:W3CDTF">2021-10-22T11:05:00Z</dcterms:modified>
</cp:coreProperties>
</file>