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677"/>
        <w:gridCol w:w="2574"/>
        <w:gridCol w:w="596"/>
        <w:gridCol w:w="601"/>
        <w:gridCol w:w="800"/>
        <w:gridCol w:w="1503"/>
        <w:gridCol w:w="735"/>
        <w:gridCol w:w="1461"/>
        <w:gridCol w:w="516"/>
      </w:tblGrid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 w:rsidP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№20.10.2021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CBB" w:rsidRDefault="00AD4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</w:t>
            </w:r>
            <w:r>
              <w:rPr>
                <w:rFonts w:ascii="Times New Roman" w:hAnsi="Times New Roman"/>
                <w:sz w:val="24"/>
                <w:szCs w:val="24"/>
              </w:rPr>
              <w:t>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"Реагент для количественного определения глюкозы в сыворотке,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плазме и моче. Метод: колориметрический, глюкозооксидазный; λ=500 нм. Линейность до 22.2 ммоль/л (400 мг/дл). Чувствительность - 0.013 ммоль/л. Состав: R1. фосфатный буфер 50 ммоль/л, pH 7.0, MOPS буфер - 50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ммоль/л, рН 7.0, фенол  11 ммоль/л, 4-аминофена</w:t>
            </w:r>
            <w:r>
              <w:rPr>
                <w:rFonts w:ascii="Times New Roman" w:hAnsi="Times New Roman"/>
                <w:sz w:val="24"/>
                <w:szCs w:val="24"/>
              </w:rPr>
              <w:t>зон 0.77 ммоль/л, глюкозоксидаза ≥1.5 kЕд/л, пероксидаза ≥1.5 kЕд/л. Стандарт - глюкоза - лот специфичная. Стабильность: реактив cтабилен в течение срока, указанного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СРБ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Метод-иммунотурбидиметрия. Общий объем фасовки 48мл. ( R1-2 флакона по 20 мл, R2 1 флакон 8 мл.). Возможность проведения исследований на анализаторе 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Креатинкиназы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определния общей активности креатинкиназы в сыворотке или плазме крови оптимизированным кинетическим методом. Реагент№1-2*40мл, Реагент 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для определения Креатинкиназы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активности  Креатинкиназы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аланинаминотрансферазу (АЛТ) 4*50мл +4*25мл. Метод-реакция  IFCC,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АСТ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аспартатаминотрансферазу 4*25мл 4*25мл. Метод-IFCC, упак.4X25мл + 4Х25мл, 3920 тестов, стабильность 30  дней, интервал линейности 3-1000 Е/л, </w:t>
            </w:r>
            <w:r>
              <w:rPr>
                <w:rFonts w:ascii="Times New Roman" w:hAnsi="Times New Roman"/>
                <w:sz w:val="24"/>
                <w:szCs w:val="24"/>
              </w:rPr>
              <w:t>чувствительность метода 1 Е/л, референсный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кальция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CALCIUM (ARSENAZO III), Реактив на кальций 4*15мл. Метод-арсеназный, упак.4X15мл,2800 тестов, стабильность 90  дней, </w:t>
            </w:r>
            <w:r>
              <w:rPr>
                <w:rFonts w:ascii="Times New Roman" w:hAnsi="Times New Roman"/>
                <w:sz w:val="24"/>
                <w:szCs w:val="24"/>
              </w:rPr>
              <w:t>интервал линейности 1 - 5 ммоль/л (сыв-ка) 0 - 10 ммоль/л (моча), чувствительность метода0.01 ммоль/л (сыв-ка) 0.03 ммоль/л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креатинина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креатинин 4*51мл +4*51мл.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Метод- кинетический, Яффе,  упак.4X51 мл + 4Х51 мл, 3960 тестов, стабильность 14  дней, интервал линейности 18 - 2200 мкмоль/л (сыв-ка, плазма) 88 - 35360 ммоль/л (моча), чувствительность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метода 0.07 ммоль/л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на общий </w:t>
            </w:r>
            <w:r>
              <w:rPr>
                <w:rFonts w:ascii="Times New Roman" w:hAnsi="Times New Roman"/>
                <w:sz w:val="24"/>
                <w:szCs w:val="24"/>
              </w:rPr>
              <w:t>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BILIRUBIN, Реактив на общий билирубин 4X40мл + 4X40мл. Метод-DPD-TFB,  упаковка 4X40мл + 4X40мл, количество  тестов 6200 стабильность 30  дней, интервал линейности 0-513 мкмоль/л, чувствительность метода 0.39 мкмоль/л, референсный диапазон </w:t>
            </w:r>
            <w:r>
              <w:rPr>
                <w:rFonts w:ascii="Times New Roman" w:hAnsi="Times New Roman"/>
                <w:sz w:val="24"/>
                <w:szCs w:val="24"/>
              </w:rPr>
              <w:t>5-21 мк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прямого билирубина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21  дней, интервал линейности 0 - </w:t>
            </w:r>
            <w:r>
              <w:rPr>
                <w:rFonts w:ascii="Times New Roman" w:hAnsi="Times New Roman"/>
                <w:sz w:val="24"/>
                <w:szCs w:val="24"/>
              </w:rPr>
              <w:t>171 мкмоль/л, чувствительность метода 0,24 мкмоль/л, референсный диапазон &lt;  3,4 мкмоль/л.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 для определения мочевины Метод- кинетика, GLDH, упак. 4X53мл + 4X53 мл, 4920 тестов, стабильность 30  </w:t>
            </w:r>
            <w:r>
              <w:rPr>
                <w:rFonts w:ascii="Times New Roman" w:hAnsi="Times New Roman"/>
                <w:sz w:val="24"/>
                <w:szCs w:val="24"/>
              </w:rPr>
              <w:t>дней, интервал линейности 0.8 - 50 ммоль/л (сыв-ка, плазма) 10 - 750 ммоль/л (моча), чувствительность метода 0.38 ммоль/л (сыв-ка) 5.71 ммоль/л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ISE буфер (ISE ВиРРЕР),.4Х2000мл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средний  для модуля электролитов,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Средний стандарт (ISE) (ISE Mid Standard),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Фиксатор-краситель форменных элементов крови ( эозин метиленовый синий по Май-Грюнвальду)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Диахим-ГемиСтейн - МГ.Фиксатор </w:t>
            </w:r>
            <w:r>
              <w:rPr>
                <w:rFonts w:ascii="Times New Roman" w:hAnsi="Times New Roman"/>
                <w:sz w:val="24"/>
                <w:szCs w:val="24"/>
              </w:rPr>
              <w:t>краситель эозин метиленовый синий по Май-Грюнвальду,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белок (набор для определения общего белка биуретовый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AD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CBB" w:rsidRDefault="004F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</w:t>
            </w:r>
            <w:r>
              <w:rPr>
                <w:rFonts w:ascii="Times New Roman" w:hAnsi="Times New Roman"/>
                <w:szCs w:val="16"/>
              </w:rPr>
              <w:t>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</w:t>
            </w:r>
            <w:r>
              <w:rPr>
                <w:rFonts w:ascii="Times New Roman" w:hAnsi="Times New Roman"/>
                <w:szCs w:val="16"/>
              </w:rPr>
              <w:t>едицинских изделий")</w:t>
            </w: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4F7CB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F7CB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F7CB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 w:rsidP="00AD4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.10.2021 17:00:00 по местному времени. </w:t>
            </w: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CBB" w:rsidRDefault="004F7CBB">
            <w:pPr>
              <w:rPr>
                <w:szCs w:val="16"/>
              </w:rPr>
            </w:pP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7CBB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4F7CBB" w:rsidRDefault="00AD4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D4B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CBB"/>
    <w:rsid w:val="004F7CBB"/>
    <w:rsid w:val="00A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C7DC5-2701-4448-A143-654AACF6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2021-10-20T04:32:00Z</dcterms:created>
  <dcterms:modified xsi:type="dcterms:W3CDTF">2021-10-20T04:33:00Z</dcterms:modified>
</cp:coreProperties>
</file>