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11"/>
        <w:gridCol w:w="1597"/>
        <w:gridCol w:w="2134"/>
        <w:gridCol w:w="611"/>
        <w:gridCol w:w="656"/>
        <w:gridCol w:w="867"/>
        <w:gridCol w:w="1665"/>
        <w:gridCol w:w="1393"/>
        <w:gridCol w:w="1555"/>
      </w:tblGrid>
      <w:tr w:rsidR="00D23717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D5250A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436A06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27CD">
              <w:rPr>
                <w:rFonts w:ascii="Times New Roman" w:hAnsi="Times New Roman"/>
                <w:sz w:val="24"/>
                <w:szCs w:val="24"/>
              </w:rPr>
              <w:t>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D5250A">
              <w:rPr>
                <w:rFonts w:ascii="Times New Roman" w:hAnsi="Times New Roman"/>
                <w:sz w:val="24"/>
                <w:szCs w:val="24"/>
              </w:rPr>
              <w:t>1587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8086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52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</w:p>
        </w:tc>
        <w:tc>
          <w:tcPr>
            <w:tcW w:w="1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436A06" w:rsidRDefault="00D5250A" w:rsidP="0043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(Полностью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ячейками для эндоскопической установки.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малигнизированных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 желчных протоков. Наличие лассо на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и репозиции. Стерильный. На доставочном устройстве.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раскрытии 6 мм,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механизм, Общая длина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120 мм, имеет 9 золотых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меток по 3 на </w:t>
            </w:r>
            <w:r w:rsidR="00436A06">
              <w:rPr>
                <w:rFonts w:ascii="Times New Roman" w:hAnsi="Times New Roman"/>
                <w:sz w:val="24"/>
                <w:szCs w:val="24"/>
              </w:rPr>
              <w:lastRenderedPageBreak/>
              <w:t>концах и 3 в центре, для удобства визуализации. Достаточное устройство диаметром 8(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436A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36A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линой </w:t>
            </w:r>
            <w:r w:rsidR="00436A06" w:rsidRPr="00436A06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  <w:r w:rsidR="00436A06">
              <w:rPr>
                <w:rFonts w:ascii="Times New Roman" w:hAnsi="Times New Roman"/>
                <w:sz w:val="24"/>
                <w:szCs w:val="24"/>
              </w:rPr>
              <w:t>мм</w:t>
            </w:r>
            <w:r w:rsidR="00436A06" w:rsidRPr="00436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6A06">
              <w:rPr>
                <w:rFonts w:ascii="Times New Roman" w:hAnsi="Times New Roman"/>
                <w:sz w:val="24"/>
                <w:szCs w:val="24"/>
              </w:rPr>
              <w:t xml:space="preserve">в наличии одна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метка на дистальном конце толкателя. Имеет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рентгенконтрастную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оливу на достаточном устройстве для визуализации проксимальной части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. Установка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проводится по проводнику 0,035 дюймов, проводник поставляется отдельно. Наличие канала для контрастного вещества. </w:t>
            </w:r>
            <w:proofErr w:type="gramStart"/>
            <w:r w:rsidR="00436A06">
              <w:rPr>
                <w:rFonts w:ascii="Times New Roman" w:hAnsi="Times New Roman"/>
                <w:sz w:val="24"/>
                <w:szCs w:val="24"/>
              </w:rPr>
              <w:t xml:space="preserve">Наличие на доставочном устройстве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метки для контроля полного раскрытия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и положения)</w:t>
            </w:r>
            <w:r w:rsidR="00436A06" w:rsidRPr="00436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0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43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827CD">
              <w:rPr>
                <w:rFonts w:ascii="Times New Roman" w:hAnsi="Times New Roman"/>
                <w:sz w:val="28"/>
                <w:szCs w:val="28"/>
              </w:rPr>
              <w:t>принимаются в срок до 05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B3B0A"/>
    <w:rsid w:val="001B7712"/>
    <w:rsid w:val="001D45D5"/>
    <w:rsid w:val="00282F82"/>
    <w:rsid w:val="00306E96"/>
    <w:rsid w:val="00307036"/>
    <w:rsid w:val="003F1945"/>
    <w:rsid w:val="00402F1A"/>
    <w:rsid w:val="00436A06"/>
    <w:rsid w:val="004E6432"/>
    <w:rsid w:val="00542582"/>
    <w:rsid w:val="00631DED"/>
    <w:rsid w:val="006C62B8"/>
    <w:rsid w:val="007D49F6"/>
    <w:rsid w:val="00915ECE"/>
    <w:rsid w:val="009D0B91"/>
    <w:rsid w:val="00A96525"/>
    <w:rsid w:val="00AA1697"/>
    <w:rsid w:val="00BA3370"/>
    <w:rsid w:val="00C64F24"/>
    <w:rsid w:val="00D23717"/>
    <w:rsid w:val="00D5250A"/>
    <w:rsid w:val="00D827CD"/>
    <w:rsid w:val="00D86FFA"/>
    <w:rsid w:val="00E06EA8"/>
    <w:rsid w:val="00E81A9D"/>
    <w:rsid w:val="00EC653E"/>
    <w:rsid w:val="00EE7641"/>
    <w:rsid w:val="00F2565D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2021-10-04T02:38:00Z</dcterms:created>
  <dcterms:modified xsi:type="dcterms:W3CDTF">2021-10-04T02:58:00Z</dcterms:modified>
</cp:coreProperties>
</file>