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1503-2024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аудио и видео связи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.11.2024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