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147-2025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Сервер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Корпус: 2U стоечный;</w:t>
              <w:br/>
              <w:t xml:space="preserve">Два процессора Intel Xeon E5-2660V3 или аналог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характеристиками (каждый):</w:t>
              <w:br/>
              <w:t xml:space="preserve">- Количество ядер не менее 10 потоков не менее 20,</w:t>
              <w:br/>
              <w:t xml:space="preserve">- Тактовая частота не менее 2600 МГц,</w:t>
              <w:br/>
              <w:t xml:space="preserve">- Объем кэш-памяти не менее 28 Мб;</w:t>
              <w:br/>
              <w:t xml:space="preserve">Охлаждение процессора сответствует установленным комплектующим;</w:t>
              <w:br/>
              <w:t xml:space="preserve">Оперативная память серверная Crucial CT16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G4RFD4213 или аналог в соответствии с характеристиками:</w:t>
              <w:br/>
              <w:t xml:space="preserve">- DIMM не менее DDR4,</w:t>
              <w:br/>
              <w:t xml:space="preserve">- не менее 128 Гб,</w:t>
              <w:br/>
              <w:t xml:space="preserve">- частота не менее 2100 МГц,</w:t>
              <w:br/>
              <w:t xml:space="preserve">- буферизованная,</w:t>
              <w:br/>
              <w:t xml:space="preserve">- поддержка ECC: наличие;</w:t>
              <w:br/>
              <w:t xml:space="preserve">Контроллер SAS LSI HBA SAS9211-8i  или аналог в соответствии с характеристиками:</w:t>
              <w:br/>
              <w:t xml:space="preserve">-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держка RAID не менее 0,1,10;</w:t>
              <w:br/>
              <w:t xml:space="preserve">- порты не менее 8 (наличие проводов для подключения дисков),</w:t>
              <w:br/>
              <w:t xml:space="preserve">- пропускная способность не менее 6 Гбит/с;</w:t>
              <w:br/>
              <w:t xml:space="preserve">Жесткий диск SAS Seagate ST3300657SS или аналог в соответствии с характеристиками:</w:t>
              <w:br/>
              <w:t xml:space="preserve">- Объем не менее 300 Гб,</w:t>
              <w:br/>
              <w:t xml:space="preserve">-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дисков не менее 2,</w:t>
              <w:br/>
              <w:t xml:space="preserve">- скорость вращения шпинделя не менее 15000 оборотов/мин.,</w:t>
              <w:br/>
              <w:t xml:space="preserve">- Интерфейс SAS,</w:t>
              <w:br/>
              <w:t xml:space="preserve">- Кэш-память не менее 16 Мб,</w:t>
              <w:br/>
              <w:t xml:space="preserve">- тип серверный,</w:t>
              <w:br/>
              <w:t xml:space="preserve">- время наработки на отказ не менее 1000000 часов;</w:t>
              <w:br/>
              <w:t xml:space="preserve">Жесткий диск HGST HUS724040ALA640 или аналог в соответствии с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рактеристиками:</w:t>
              <w:br/>
              <w:t xml:space="preserve">- Объем не менее 4 Тб,</w:t>
              <w:br/>
              <w:t xml:space="preserve">- количество не менее 4,</w:t>
              <w:br/>
              <w:t xml:space="preserve">- скорость вращения шпинделя не менее 7200 оборотов/мин.,</w:t>
              <w:br/>
              <w:t xml:space="preserve">- Интерфейс SATA,</w:t>
              <w:br/>
              <w:t xml:space="preserve">- Кэш-память не менее 64 Мб;</w:t>
              <w:br/>
              <w:t xml:space="preserve">- тип серверный,</w:t>
              <w:br/>
              <w:t xml:space="preserve">- время наработки на отказ не менее 1000000 часов;</w:t>
              <w:br/>
              <w:t xml:space="preserve">В комплекте жесткий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 WD4000F9YZ  или аналог в соответствии с характеристиками:</w:t>
              <w:br/>
              <w:t xml:space="preserve">- Объем не менее 4 Тб,</w:t>
              <w:br/>
              <w:t xml:space="preserve">- количество не менее 10,</w:t>
              <w:br/>
              <w:t xml:space="preserve">- Интерфейс SATA,</w:t>
              <w:br/>
              <w:t xml:space="preserve">- скорость вращения шпинделя не менее 7200 оборотов/мин.,</w:t>
              <w:br/>
              <w:t xml:space="preserve">- тип серверный,</w:t>
              <w:br/>
              <w:t xml:space="preserve">- время наработки на отказ не менее 1000000 часов;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