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47"/>
        <w:gridCol w:w="1913"/>
        <w:gridCol w:w="2238"/>
        <w:gridCol w:w="445"/>
        <w:gridCol w:w="568"/>
        <w:gridCol w:w="755"/>
        <w:gridCol w:w="1484"/>
        <w:gridCol w:w="1216"/>
        <w:gridCol w:w="1375"/>
        <w:gridCol w:w="488"/>
      </w:tblGrid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 w:rsidRPr="001A61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Pr="001A6178" w:rsidRDefault="001A61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A6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61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6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61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6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61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Pr="001A6178" w:rsidRDefault="004A6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Pr="001A6178" w:rsidRDefault="004A6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Pr="001A6178" w:rsidRDefault="004A6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Pr="001A6178" w:rsidRDefault="004A6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Pr="001A6178" w:rsidRDefault="004A650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Pr="001A6178" w:rsidRDefault="004A650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Pr="001A6178" w:rsidRDefault="004A650B">
            <w:pPr>
              <w:rPr>
                <w:szCs w:val="16"/>
                <w:lang w:val="en-US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 w:rsidP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</w:t>
            </w:r>
            <w:r>
              <w:rPr>
                <w:rFonts w:ascii="Times New Roman" w:hAnsi="Times New Roman"/>
                <w:sz w:val="24"/>
                <w:szCs w:val="24"/>
              </w:rPr>
              <w:t>021 г. №.1447-2021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50B" w:rsidRDefault="001A6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 ADVANCE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скользящей поверхности полиэтилен ISO5834-2.  3 вида: стандартный, глубокое блюдце,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ультраконгруэнтный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Размеров по ширине 5 (65- 85 мм, шаг 5 мм). Размеров по высоте  6 (10-20 мм, шаг 2 мм). Жесткая фиксация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компоненте путем защелкивания. Возможность применения одного вкладыша для основного и промежуточного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для протезирования коленного сустава цементной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анатомическая (правый, левый), соотношение радиусов мыщелков близко к нормальному бедру (1:1,07-1,08) для соответствия поверхности дистальной части бедренной кости с возможностью предоставления бедренных компонентов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анатомических 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с соотношением радиусов мыщелков присущих женскому типу бедра (1:1.09-1.02), более тонким профилем переднего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 бедренного компонента обеспечивает возможность сгибания до 155 град.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кобальт-хром-молибденовый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Структура: Внутренняя поверхность компонента – шероховатая, снаружи – гладкая. Размеры двух типов – правые и левые, 5-ти стандартных типоразмеров, 2-х микро и 1-го макро. Метод фиксации цементный. Особенности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оба вида компонентов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пациентов  с наличием задней крестообразной связки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Каждому типоразмеру бедренного компонента соответствует2-х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ADVANCE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CoCr29Mo ISO5832-12, типоразмеров  9 (включая 4 промежуточных размера), по переднезаднему размеру 43 - 56 мм, по медиально-латеральному размеру  65- 85 мм.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6 мм, с углублением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вкладыш 3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28-48 мм, шаг 5 мм. Тонкие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фланцы (крылья)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стабильности, длина 14 мм. Возможность применения удлиняющей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моноблока. Универсальное применение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 (при протезировании с сохранением задней крестообразной связки и без сохранения). Совместимость каждого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3-мя размерами бедренного компонента.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</w:t>
            </w:r>
            <w:r>
              <w:rPr>
                <w:rFonts w:ascii="Times New Roman" w:hAnsi="Times New Roman"/>
                <w:sz w:val="24"/>
                <w:szCs w:val="24"/>
              </w:rPr>
              <w:t>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(для левой и правой 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Имплантируемая поверхность имеет тонкий слой костного цемента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 удлинительными штифтами длиной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имеет возможность установки бедрен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различной 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запорного механизма для полиэтиленовой прокладки - защелкивающийся. 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соответствует  2 типа  полиэтилено</w:t>
            </w:r>
            <w:r>
              <w:rPr>
                <w:rFonts w:ascii="Times New Roman" w:hAnsi="Times New Roman"/>
                <w:sz w:val="24"/>
                <w:szCs w:val="24"/>
              </w:rPr>
              <w:t>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размерный  ряд составляет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 возможностью поставки 2-х – микро (1, 2) и  2-х макро (9, 10).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Сплав CoCr29Mo ISO5832-12, правый/левый, </w:t>
            </w:r>
            <w:r>
              <w:rPr>
                <w:rFonts w:ascii="Times New Roman" w:hAnsi="Times New Roman"/>
                <w:sz w:val="24"/>
                <w:szCs w:val="24"/>
              </w:rPr>
              <w:t>типоразмеров 7 (по переднезаднему размеру  50 - 75,5 мм), по медиально-латеральному размеру  56-82 мм).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Одинаковый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феморально-пателлярный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радиус бедренного компонента 45º. Толщина бедренного компонента 9 мм. Ориентация имплантации на механическую ось конеч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пилы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 мм, материал - инструментальная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сталь., совместима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насадкой для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GTS длина среза 90 мм, ширина среза 19 мм, толщина 1,19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совместимо с пилой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Должно быть стерильным. Должно иметь зубцы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мм. Лезвие должно иметь длину среза 90 мм, ширину среза 19 мм, толщину 1,19 мм. Материал -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реципрокное двустороннее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совместимо с пилой реципрокной. Должно быть стерильным. Лезвие должно иметь длину </w:t>
            </w:r>
            <w:r>
              <w:rPr>
                <w:rFonts w:ascii="Times New Roman" w:hAnsi="Times New Roman"/>
                <w:sz w:val="24"/>
                <w:szCs w:val="24"/>
              </w:rPr>
              <w:t>среза 76 мм, ширину среза 13мм, толщину 0.89 мм. Материал -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замешивания костного цемента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стерильных хирургических инструментов, приспособлений, разработанных для подготовки и нанесения костного цемента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ортопедической хирургической операции. Способ замешивания: в условиях частичного вакуума, что обеспечивает однородность костного цемента, при этом поры в цементе эффективно уменьшаются. Вид системы: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закрытая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что позволяет минимизировать количество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вободного мономера в операционной, поскольку метод нанесения устраняет прямой контакт с костным цементом.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замешиваний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 Объем  цемента для первого замешивания  40 грамм, для подбора подходящего объема во время операции. Объем  цемента дл</w:t>
            </w:r>
            <w:r>
              <w:rPr>
                <w:rFonts w:ascii="Times New Roman" w:hAnsi="Times New Roman"/>
                <w:sz w:val="24"/>
                <w:szCs w:val="24"/>
              </w:rPr>
              <w:t>я второго замешивания 80 грамм, для подбора подходящего объема во время операции. Комплект поставки: 1. Короткий картридж,  длинный картридж, 2. Съемный наконечник для улучшения позиционирования цемента в ране, 3. Воронка для ввода цемента в систему, 4.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гистраль со стерильным фильтром, 5. Фильтр, 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Прешурайзер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бедренный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силикона. Оптимальный состав комплекта, позволяющий произвести быструю сборку набора в условиях стерильности.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Полиэтиленовый вкладыш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Полиэтиленовые вкладыши (прокладка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 задним стабилизатором универсальные (для левой и правой голени). Материал: высокомолекулярный полиэтилен UHMWPE (ISO 5834-2..1998). Конструктивные особенности: Полиэтиленовая прокладка жесткой фиксации мето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защелкивания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компоненте. Размеры: 3-и типоразмеров (CD, EF, GH) по ширине и  5-ть (10, 12, 14, 17, 20  мм) типоразмеров по высоте.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Костный цемент должен быть двухкомпонентным полимерным материалом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быть с наличием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гентамицина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(антибиотика), средней или высокой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вязкости. Расфасовка 40 г. Должен поставляться в стерильном виде и иметь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Костный цемент является двухкомпонентным полимерным материалом с высокой степенью адгезии по отношению к косной ткани,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  средней степени вязкости. Расфасовка  40 г. Поставляется в стерильном виде и имеет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Synicem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</w:t>
            </w:r>
            <w:r>
              <w:rPr>
                <w:rFonts w:ascii="Times New Roman" w:hAnsi="Times New Roman"/>
                <w:sz w:val="24"/>
                <w:szCs w:val="24"/>
              </w:rPr>
              <w:t>ой температуре. Полимер должен быть  предпочтительно средней степени вязкости. Расфасовка 40 г. Должен поставляться в стерильном виде и иметь индивидуальную упаковку.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Synicem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гентамицином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быть с наличием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гентам</w:t>
            </w:r>
            <w:r>
              <w:rPr>
                <w:rFonts w:ascii="Times New Roman" w:hAnsi="Times New Roman"/>
                <w:sz w:val="24"/>
                <w:szCs w:val="24"/>
              </w:rPr>
              <w:t>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(антибиотика), средней или высокой вязкости. Расфасовка 40 г. Должен поставляться в стерильном виде и иметь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 антибиотиками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Самополимеризующаяся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акриловая смесь из порошка полиметилметакрилат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наличием антибиотиков: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гидрохлорид. Жидкий (метилметакрилат) фракции (для профилактики развития инфекции в послеоперационном периоде и при наличии инфекции, вызванной микроорганизмами, чувствительными к антибиотикам, содер</w:t>
            </w:r>
            <w:r>
              <w:rPr>
                <w:rFonts w:ascii="Times New Roman" w:hAnsi="Times New Roman"/>
                <w:sz w:val="24"/>
                <w:szCs w:val="24"/>
              </w:rPr>
              <w:t>жащемся в костном цементе). Жидкий мономер не менее 13 мл и порошковый полимер не менее 40 г. упакованы как два отдельных стерильных компонента. Упаковка содержит информацию о сроке стерильности.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1A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650B" w:rsidRDefault="004A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4A65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4A65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 w:rsidP="001A6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226-99-90</w:t>
            </w:r>
          </w:p>
        </w:tc>
      </w:tr>
      <w:tr w:rsidR="004A650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15.09.2021 17:00:00 по местному времени. </w:t>
            </w:r>
          </w:p>
        </w:tc>
      </w:tr>
      <w:tr w:rsidR="004A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4A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650B" w:rsidRDefault="004A650B">
            <w:pPr>
              <w:rPr>
                <w:szCs w:val="16"/>
              </w:rPr>
            </w:pP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65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650B" w:rsidRDefault="001A61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A6178"/>
    <w:sectPr w:rsidR="00000000" w:rsidSect="004A65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A650B"/>
    <w:rsid w:val="001A6178"/>
    <w:rsid w:val="004A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A650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8389</Characters>
  <Application>Microsoft Office Word</Application>
  <DocSecurity>0</DocSecurity>
  <Lines>69</Lines>
  <Paragraphs>19</Paragraphs>
  <ScaleCrop>false</ScaleCrop>
  <Company>office 2007 rus ent: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2021-09-10T06:52:00Z</dcterms:created>
  <dcterms:modified xsi:type="dcterms:W3CDTF">2021-09-10T06:56:00Z</dcterms:modified>
</cp:coreProperties>
</file>