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5000" w:type="pct"/>
        <w:tblInd w:w="0" w:type="dxa"/>
        <w:tblLayout w:type="fixed"/>
        <w:tblCellMar>
          <w:top w:w="0" w:type="dxa"/>
          <w:left w:w="0" w:type="dxa"/>
          <w:bottom w:w="0" w:type="dxa"/>
          <w:right w:w="0" w:type="dxa"/>
        </w:tblCellMar>
        <w:tblLook w:val="04A0" w:firstRow="1" w:lastRow="0" w:firstColumn="1" w:lastColumn="0" w:noHBand="0" w:noVBand="1"/>
      </w:tblPr>
      <w:tblGrid>
        <w:gridCol w:w="563"/>
        <w:gridCol w:w="1486"/>
        <w:gridCol w:w="1939"/>
        <w:gridCol w:w="667"/>
        <w:gridCol w:w="754"/>
        <w:gridCol w:w="867"/>
        <w:gridCol w:w="1233"/>
        <w:gridCol w:w="1172"/>
        <w:gridCol w:w="972"/>
        <w:gridCol w:w="1120"/>
      </w:tblGrid>
      <w:tr w:rsidR="003D6FA0">
        <w:tblPrEx>
          <w:tblCellMar>
            <w:top w:w="0" w:type="dxa"/>
            <w:bottom w:w="0" w:type="dxa"/>
          </w:tblCellMar>
        </w:tblPrEx>
        <w:trPr>
          <w:cantSplit/>
        </w:trPr>
        <w:tc>
          <w:tcPr>
            <w:tcW w:w="6795" w:type="dxa"/>
            <w:gridSpan w:val="3"/>
            <w:shd w:val="clear" w:color="auto" w:fill="auto"/>
            <w:vAlign w:val="bottom"/>
          </w:tcPr>
          <w:p w:rsidR="003D6FA0" w:rsidRDefault="00042696">
            <w:pPr>
              <w:jc w:val="center"/>
            </w:pPr>
            <w:r>
              <w:rPr>
                <w:rFonts w:ascii="Times New Roman" w:hAnsi="Times New Roman"/>
                <w:sz w:val="24"/>
                <w:szCs w:val="24"/>
              </w:rPr>
              <w:t>Краевое государственное бюджетное учреждение здравоохранения</w:t>
            </w:r>
          </w:p>
        </w:tc>
        <w:tc>
          <w:tcPr>
            <w:tcW w:w="1125" w:type="dxa"/>
            <w:shd w:val="clear" w:color="auto" w:fill="auto"/>
            <w:vAlign w:val="bottom"/>
          </w:tcPr>
          <w:p w:rsidR="003D6FA0" w:rsidRDefault="003D6FA0"/>
        </w:tc>
        <w:tc>
          <w:tcPr>
            <w:tcW w:w="2745" w:type="dxa"/>
            <w:gridSpan w:val="2"/>
            <w:shd w:val="clear" w:color="auto" w:fill="auto"/>
            <w:vAlign w:val="bottom"/>
          </w:tcPr>
          <w:p w:rsidR="003D6FA0" w:rsidRDefault="00042696">
            <w:pPr>
              <w:jc w:val="center"/>
            </w:pPr>
            <w:r>
              <w:rPr>
                <w:rFonts w:ascii="Times New Roman" w:hAnsi="Times New Roman"/>
                <w:sz w:val="24"/>
                <w:szCs w:val="24"/>
              </w:rPr>
              <w:t>Руководителю</w:t>
            </w:r>
          </w:p>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6795" w:type="dxa"/>
            <w:gridSpan w:val="3"/>
            <w:shd w:val="clear" w:color="auto" w:fill="auto"/>
            <w:vAlign w:val="bottom"/>
          </w:tcPr>
          <w:p w:rsidR="003D6FA0" w:rsidRDefault="00042696">
            <w:pPr>
              <w:jc w:val="center"/>
            </w:pPr>
            <w:r>
              <w:rPr>
                <w:rFonts w:ascii="Times New Roman" w:hAnsi="Times New Roman"/>
                <w:sz w:val="24"/>
                <w:szCs w:val="24"/>
              </w:rPr>
              <w:t>Краевая клиническая больница</w:t>
            </w:r>
          </w:p>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6795" w:type="dxa"/>
            <w:gridSpan w:val="3"/>
            <w:shd w:val="clear" w:color="auto" w:fill="auto"/>
            <w:vAlign w:val="bottom"/>
          </w:tcPr>
          <w:p w:rsidR="003D6FA0" w:rsidRDefault="00042696">
            <w:pPr>
              <w:jc w:val="center"/>
            </w:pPr>
            <w:r>
              <w:rPr>
                <w:rFonts w:ascii="Times New Roman" w:hAnsi="Times New Roman"/>
                <w:sz w:val="24"/>
                <w:szCs w:val="24"/>
              </w:rPr>
              <w:t>ул. П. Железняка, 3, г. Красноярск, 660022</w:t>
            </w:r>
          </w:p>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6795" w:type="dxa"/>
            <w:gridSpan w:val="3"/>
            <w:shd w:val="clear" w:color="auto" w:fill="auto"/>
            <w:vAlign w:val="bottom"/>
          </w:tcPr>
          <w:p w:rsidR="003D6FA0" w:rsidRDefault="00042696">
            <w:pPr>
              <w:jc w:val="center"/>
            </w:pPr>
            <w:r>
              <w:rPr>
                <w:rFonts w:ascii="Times New Roman" w:hAnsi="Times New Roman"/>
                <w:sz w:val="24"/>
                <w:szCs w:val="24"/>
              </w:rPr>
              <w:t>Телефон: 8 (391) 226-99-97</w:t>
            </w:r>
          </w:p>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6795" w:type="dxa"/>
            <w:gridSpan w:val="3"/>
            <w:shd w:val="clear" w:color="auto" w:fill="auto"/>
            <w:vAlign w:val="bottom"/>
          </w:tcPr>
          <w:p w:rsidR="003D6FA0" w:rsidRDefault="00042696">
            <w:pPr>
              <w:jc w:val="center"/>
            </w:pPr>
            <w:r>
              <w:rPr>
                <w:rFonts w:ascii="Times New Roman" w:hAnsi="Times New Roman"/>
                <w:sz w:val="24"/>
                <w:szCs w:val="24"/>
              </w:rPr>
              <w:t>Факс: 8 (391) 220-16-23</w:t>
            </w:r>
          </w:p>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rsidRPr="00042696">
        <w:tblPrEx>
          <w:tblCellMar>
            <w:top w:w="0" w:type="dxa"/>
            <w:bottom w:w="0" w:type="dxa"/>
          </w:tblCellMar>
        </w:tblPrEx>
        <w:trPr>
          <w:cantSplit/>
        </w:trPr>
        <w:tc>
          <w:tcPr>
            <w:tcW w:w="6795" w:type="dxa"/>
            <w:gridSpan w:val="3"/>
            <w:shd w:val="clear" w:color="auto" w:fill="auto"/>
            <w:vAlign w:val="bottom"/>
          </w:tcPr>
          <w:p w:rsidR="003D6FA0" w:rsidRPr="00042696" w:rsidRDefault="00042696">
            <w:pPr>
              <w:jc w:val="center"/>
              <w:rPr>
                <w:lang w:val="en-US"/>
              </w:rPr>
            </w:pPr>
            <w:r>
              <w:rPr>
                <w:rFonts w:ascii="Times New Roman" w:hAnsi="Times New Roman"/>
                <w:sz w:val="24"/>
                <w:szCs w:val="24"/>
              </w:rPr>
              <w:t>Е</w:t>
            </w:r>
            <w:r w:rsidRPr="00042696">
              <w:rPr>
                <w:rFonts w:ascii="Times New Roman" w:hAnsi="Times New Roman"/>
                <w:sz w:val="24"/>
                <w:szCs w:val="24"/>
                <w:lang w:val="en-US"/>
              </w:rPr>
              <w:t xml:space="preserve">-mail: kkb@ </w:t>
            </w:r>
            <w:r w:rsidRPr="00042696">
              <w:rPr>
                <w:rFonts w:ascii="Times New Roman" w:hAnsi="Times New Roman"/>
                <w:sz w:val="24"/>
                <w:szCs w:val="24"/>
                <w:lang w:val="en-US"/>
              </w:rPr>
              <w:t>medqorod. ru</w:t>
            </w:r>
          </w:p>
        </w:tc>
        <w:tc>
          <w:tcPr>
            <w:tcW w:w="1125" w:type="dxa"/>
            <w:shd w:val="clear" w:color="auto" w:fill="auto"/>
            <w:vAlign w:val="bottom"/>
          </w:tcPr>
          <w:p w:rsidR="003D6FA0" w:rsidRPr="00042696" w:rsidRDefault="003D6FA0">
            <w:pPr>
              <w:rPr>
                <w:lang w:val="en-US"/>
              </w:rPr>
            </w:pPr>
          </w:p>
        </w:tc>
        <w:tc>
          <w:tcPr>
            <w:tcW w:w="1275" w:type="dxa"/>
            <w:shd w:val="clear" w:color="auto" w:fill="auto"/>
            <w:vAlign w:val="bottom"/>
          </w:tcPr>
          <w:p w:rsidR="003D6FA0" w:rsidRPr="00042696" w:rsidRDefault="003D6FA0">
            <w:pPr>
              <w:rPr>
                <w:lang w:val="en-US"/>
              </w:rPr>
            </w:pPr>
          </w:p>
        </w:tc>
        <w:tc>
          <w:tcPr>
            <w:tcW w:w="1470" w:type="dxa"/>
            <w:shd w:val="clear" w:color="auto" w:fill="auto"/>
            <w:vAlign w:val="bottom"/>
          </w:tcPr>
          <w:p w:rsidR="003D6FA0" w:rsidRPr="00042696" w:rsidRDefault="003D6FA0">
            <w:pPr>
              <w:rPr>
                <w:lang w:val="en-US"/>
              </w:rPr>
            </w:pPr>
          </w:p>
        </w:tc>
        <w:tc>
          <w:tcPr>
            <w:tcW w:w="2100" w:type="dxa"/>
            <w:shd w:val="clear" w:color="auto" w:fill="auto"/>
            <w:vAlign w:val="bottom"/>
          </w:tcPr>
          <w:p w:rsidR="003D6FA0" w:rsidRPr="00042696" w:rsidRDefault="003D6FA0">
            <w:pPr>
              <w:rPr>
                <w:lang w:val="en-US"/>
              </w:rPr>
            </w:pPr>
          </w:p>
        </w:tc>
        <w:tc>
          <w:tcPr>
            <w:tcW w:w="1995" w:type="dxa"/>
            <w:shd w:val="clear" w:color="auto" w:fill="auto"/>
            <w:vAlign w:val="bottom"/>
          </w:tcPr>
          <w:p w:rsidR="003D6FA0" w:rsidRPr="00042696" w:rsidRDefault="003D6FA0">
            <w:pPr>
              <w:rPr>
                <w:lang w:val="en-US"/>
              </w:rPr>
            </w:pPr>
          </w:p>
        </w:tc>
        <w:tc>
          <w:tcPr>
            <w:tcW w:w="1650" w:type="dxa"/>
            <w:shd w:val="clear" w:color="auto" w:fill="auto"/>
            <w:vAlign w:val="bottom"/>
          </w:tcPr>
          <w:p w:rsidR="003D6FA0" w:rsidRPr="00042696" w:rsidRDefault="003D6FA0">
            <w:pPr>
              <w:rPr>
                <w:lang w:val="en-US"/>
              </w:rPr>
            </w:pPr>
          </w:p>
        </w:tc>
        <w:tc>
          <w:tcPr>
            <w:tcW w:w="1905" w:type="dxa"/>
            <w:shd w:val="clear" w:color="auto" w:fill="auto"/>
            <w:vAlign w:val="bottom"/>
          </w:tcPr>
          <w:p w:rsidR="003D6FA0" w:rsidRPr="00042696" w:rsidRDefault="003D6FA0">
            <w:pPr>
              <w:rPr>
                <w:lang w:val="en-US"/>
              </w:rPr>
            </w:pPr>
          </w:p>
        </w:tc>
      </w:tr>
      <w:tr w:rsidR="003D6FA0">
        <w:tblPrEx>
          <w:tblCellMar>
            <w:top w:w="0" w:type="dxa"/>
            <w:bottom w:w="0" w:type="dxa"/>
          </w:tblCellMar>
        </w:tblPrEx>
        <w:trPr>
          <w:cantSplit/>
        </w:trPr>
        <w:tc>
          <w:tcPr>
            <w:tcW w:w="6795" w:type="dxa"/>
            <w:gridSpan w:val="3"/>
            <w:shd w:val="clear" w:color="auto" w:fill="auto"/>
            <w:vAlign w:val="bottom"/>
          </w:tcPr>
          <w:p w:rsidR="003D6FA0" w:rsidRDefault="00042696">
            <w:pPr>
              <w:jc w:val="center"/>
            </w:pPr>
            <w:r>
              <w:rPr>
                <w:rFonts w:ascii="Times New Roman" w:hAnsi="Times New Roman"/>
                <w:sz w:val="24"/>
                <w:szCs w:val="24"/>
              </w:rPr>
              <w:t>Http://www.medgorod.ru</w:t>
            </w:r>
          </w:p>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6795" w:type="dxa"/>
            <w:gridSpan w:val="3"/>
            <w:shd w:val="clear" w:color="auto" w:fill="auto"/>
            <w:vAlign w:val="bottom"/>
          </w:tcPr>
          <w:p w:rsidR="003D6FA0" w:rsidRDefault="00042696">
            <w:pPr>
              <w:jc w:val="center"/>
            </w:pPr>
            <w:r>
              <w:rPr>
                <w:rFonts w:ascii="Times New Roman" w:hAnsi="Times New Roman"/>
                <w:sz w:val="24"/>
                <w:szCs w:val="24"/>
              </w:rPr>
              <w:t>ОКПО 01913234</w:t>
            </w:r>
          </w:p>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6795" w:type="dxa"/>
            <w:gridSpan w:val="3"/>
            <w:shd w:val="clear" w:color="auto" w:fill="auto"/>
            <w:vAlign w:val="bottom"/>
          </w:tcPr>
          <w:p w:rsidR="003D6FA0" w:rsidRDefault="00042696">
            <w:pPr>
              <w:jc w:val="center"/>
            </w:pPr>
            <w:r>
              <w:rPr>
                <w:rFonts w:ascii="Times New Roman" w:hAnsi="Times New Roman"/>
                <w:sz w:val="24"/>
                <w:szCs w:val="24"/>
              </w:rPr>
              <w:t>ИНН/КПП 2465030876/246501001</w:t>
            </w:r>
          </w:p>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6795" w:type="dxa"/>
            <w:gridSpan w:val="3"/>
            <w:shd w:val="clear" w:color="auto" w:fill="auto"/>
            <w:vAlign w:val="bottom"/>
          </w:tcPr>
          <w:p w:rsidR="003D6FA0" w:rsidRDefault="00042696" w:rsidP="00042696">
            <w:pPr>
              <w:jc w:val="center"/>
            </w:pPr>
            <w:r>
              <w:rPr>
                <w:rFonts w:ascii="Times New Roman" w:hAnsi="Times New Roman"/>
                <w:sz w:val="24"/>
                <w:szCs w:val="24"/>
              </w:rPr>
              <w:t>12.09.</w:t>
            </w:r>
            <w:r>
              <w:rPr>
                <w:rFonts w:ascii="Times New Roman" w:hAnsi="Times New Roman"/>
                <w:sz w:val="24"/>
                <w:szCs w:val="24"/>
              </w:rPr>
              <w:t>2</w:t>
            </w:r>
            <w:r>
              <w:rPr>
                <w:rFonts w:ascii="Times New Roman" w:hAnsi="Times New Roman"/>
                <w:sz w:val="24"/>
                <w:szCs w:val="24"/>
              </w:rPr>
              <w:t>023 г. №1422-2023</w:t>
            </w:r>
            <w:bookmarkStart w:id="0" w:name="_GoBack"/>
            <w:bookmarkEnd w:id="0"/>
          </w:p>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6795" w:type="dxa"/>
            <w:gridSpan w:val="3"/>
            <w:shd w:val="clear" w:color="auto" w:fill="auto"/>
            <w:vAlign w:val="bottom"/>
          </w:tcPr>
          <w:p w:rsidR="003D6FA0" w:rsidRDefault="00042696">
            <w:pPr>
              <w:jc w:val="center"/>
            </w:pPr>
            <w:r>
              <w:rPr>
                <w:rFonts w:ascii="Times New Roman" w:hAnsi="Times New Roman"/>
                <w:sz w:val="24"/>
                <w:szCs w:val="24"/>
              </w:rPr>
              <w:t>На №_________ от ________________</w:t>
            </w:r>
          </w:p>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945" w:type="dxa"/>
            <w:shd w:val="clear" w:color="auto" w:fill="auto"/>
            <w:vAlign w:val="bottom"/>
          </w:tcPr>
          <w:p w:rsidR="003D6FA0" w:rsidRDefault="003D6FA0"/>
        </w:tc>
        <w:tc>
          <w:tcPr>
            <w:tcW w:w="2535" w:type="dxa"/>
            <w:shd w:val="clear" w:color="auto" w:fill="auto"/>
            <w:vAlign w:val="bottom"/>
          </w:tcPr>
          <w:p w:rsidR="003D6FA0" w:rsidRDefault="003D6FA0"/>
        </w:tc>
        <w:tc>
          <w:tcPr>
            <w:tcW w:w="3315" w:type="dxa"/>
            <w:shd w:val="clear" w:color="auto" w:fill="auto"/>
            <w:vAlign w:val="bottom"/>
          </w:tcPr>
          <w:p w:rsidR="003D6FA0" w:rsidRDefault="003D6FA0"/>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6795" w:type="dxa"/>
            <w:gridSpan w:val="3"/>
            <w:shd w:val="clear" w:color="auto" w:fill="auto"/>
            <w:vAlign w:val="bottom"/>
          </w:tcPr>
          <w:p w:rsidR="003D6FA0" w:rsidRDefault="00042696">
            <w:pPr>
              <w:jc w:val="center"/>
            </w:pPr>
            <w:r>
              <w:rPr>
                <w:rFonts w:ascii="Times New Roman" w:hAnsi="Times New Roman"/>
                <w:sz w:val="24"/>
                <w:szCs w:val="24"/>
              </w:rPr>
              <w:t>О коммерческом предложении</w:t>
            </w:r>
          </w:p>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945" w:type="dxa"/>
            <w:shd w:val="clear" w:color="auto" w:fill="auto"/>
            <w:vAlign w:val="bottom"/>
          </w:tcPr>
          <w:p w:rsidR="003D6FA0" w:rsidRDefault="003D6FA0"/>
        </w:tc>
        <w:tc>
          <w:tcPr>
            <w:tcW w:w="2535" w:type="dxa"/>
            <w:shd w:val="clear" w:color="auto" w:fill="auto"/>
            <w:vAlign w:val="bottom"/>
          </w:tcPr>
          <w:p w:rsidR="003D6FA0" w:rsidRDefault="003D6FA0"/>
        </w:tc>
        <w:tc>
          <w:tcPr>
            <w:tcW w:w="3315" w:type="dxa"/>
            <w:shd w:val="clear" w:color="auto" w:fill="auto"/>
            <w:vAlign w:val="bottom"/>
          </w:tcPr>
          <w:p w:rsidR="003D6FA0" w:rsidRDefault="003D6FA0"/>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12765" w:type="dxa"/>
            <w:gridSpan w:val="7"/>
            <w:shd w:val="clear" w:color="auto" w:fill="auto"/>
            <w:vAlign w:val="bottom"/>
          </w:tcPr>
          <w:p w:rsidR="003D6FA0" w:rsidRDefault="00042696">
            <w:pPr>
              <w:jc w:val="center"/>
            </w:pPr>
            <w:r>
              <w:rPr>
                <w:rFonts w:ascii="Times New Roman" w:hAnsi="Times New Roman"/>
                <w:b/>
                <w:sz w:val="28"/>
                <w:szCs w:val="28"/>
              </w:rPr>
              <w:t>Уважаемые господа!</w:t>
            </w:r>
          </w:p>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18315" w:type="dxa"/>
            <w:gridSpan w:val="10"/>
            <w:shd w:val="clear" w:color="auto" w:fill="auto"/>
            <w:vAlign w:val="bottom"/>
          </w:tcPr>
          <w:p w:rsidR="003D6FA0" w:rsidRDefault="00042696">
            <w:pPr>
              <w:jc w:val="cente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vAlign w:val="center"/>
          </w:tcPr>
          <w:p w:rsidR="003D6FA0" w:rsidRDefault="00042696">
            <w:pPr>
              <w:jc w:val="center"/>
            </w:pPr>
            <w:r>
              <w:rPr>
                <w:rFonts w:ascii="Times New Roman" w:hAnsi="Times New Roman"/>
                <w:b/>
                <w:sz w:val="24"/>
                <w:szCs w:val="24"/>
              </w:rPr>
              <w:t>№ п/п</w:t>
            </w:r>
          </w:p>
        </w:tc>
        <w:tc>
          <w:tcPr>
            <w:tcW w:w="2535" w:type="dxa"/>
            <w:tcBorders>
              <w:top w:val="single" w:sz="5" w:space="0" w:color="auto"/>
              <w:bottom w:val="single" w:sz="5" w:space="0" w:color="auto"/>
              <w:right w:val="single" w:sz="5" w:space="0" w:color="auto"/>
            </w:tcBorders>
            <w:shd w:val="clear" w:color="auto" w:fill="auto"/>
            <w:vAlign w:val="center"/>
          </w:tcPr>
          <w:p w:rsidR="003D6FA0" w:rsidRDefault="00042696">
            <w:pPr>
              <w:jc w:val="center"/>
            </w:pPr>
            <w:r>
              <w:rPr>
                <w:rFonts w:ascii="Times New Roman" w:hAnsi="Times New Roman"/>
                <w:b/>
                <w:sz w:val="24"/>
                <w:szCs w:val="24"/>
              </w:rPr>
              <w:t>Наименование</w:t>
            </w:r>
          </w:p>
        </w:tc>
        <w:tc>
          <w:tcPr>
            <w:tcW w:w="3315" w:type="dxa"/>
            <w:tcBorders>
              <w:top w:val="single" w:sz="5" w:space="0" w:color="auto"/>
              <w:bottom w:val="single" w:sz="5" w:space="0" w:color="auto"/>
              <w:right w:val="single" w:sz="5" w:space="0" w:color="auto"/>
            </w:tcBorders>
            <w:shd w:val="clear" w:color="auto" w:fill="auto"/>
            <w:vAlign w:val="center"/>
          </w:tcPr>
          <w:p w:rsidR="003D6FA0" w:rsidRDefault="00042696">
            <w:pPr>
              <w:jc w:val="center"/>
            </w:pPr>
            <w:r>
              <w:rPr>
                <w:rFonts w:ascii="Times New Roman" w:hAnsi="Times New Roman"/>
                <w:b/>
                <w:sz w:val="24"/>
                <w:szCs w:val="24"/>
              </w:rPr>
              <w:t>Характеристики</w:t>
            </w:r>
          </w:p>
        </w:tc>
        <w:tc>
          <w:tcPr>
            <w:tcW w:w="1125" w:type="dxa"/>
            <w:tcBorders>
              <w:top w:val="single" w:sz="5" w:space="0" w:color="auto"/>
              <w:bottom w:val="single" w:sz="5" w:space="0" w:color="auto"/>
              <w:right w:val="single" w:sz="5" w:space="0" w:color="auto"/>
            </w:tcBorders>
            <w:shd w:val="clear" w:color="auto" w:fill="auto"/>
            <w:vAlign w:val="center"/>
          </w:tcPr>
          <w:p w:rsidR="003D6FA0" w:rsidRDefault="00042696">
            <w:pPr>
              <w:jc w:val="center"/>
            </w:pPr>
            <w:r>
              <w:rPr>
                <w:rFonts w:ascii="Times New Roman" w:hAnsi="Times New Roman"/>
                <w:b/>
                <w:sz w:val="24"/>
                <w:szCs w:val="24"/>
              </w:rPr>
              <w:t>Ед. изм.</w:t>
            </w:r>
          </w:p>
        </w:tc>
        <w:tc>
          <w:tcPr>
            <w:tcW w:w="1275" w:type="dxa"/>
            <w:tcBorders>
              <w:top w:val="single" w:sz="5" w:space="0" w:color="auto"/>
              <w:bottom w:val="single" w:sz="5" w:space="0" w:color="auto"/>
              <w:right w:val="single" w:sz="5" w:space="0" w:color="auto"/>
            </w:tcBorders>
            <w:shd w:val="clear" w:color="auto" w:fill="auto"/>
            <w:vAlign w:val="center"/>
          </w:tcPr>
          <w:p w:rsidR="003D6FA0" w:rsidRDefault="00042696">
            <w:pPr>
              <w:jc w:val="center"/>
            </w:pPr>
            <w:r>
              <w:rPr>
                <w:rFonts w:ascii="Times New Roman" w:hAnsi="Times New Roman"/>
                <w:b/>
                <w:sz w:val="24"/>
                <w:szCs w:val="24"/>
              </w:rPr>
              <w:t>Кол-во, шт</w:t>
            </w:r>
          </w:p>
        </w:tc>
        <w:tc>
          <w:tcPr>
            <w:tcW w:w="1470" w:type="dxa"/>
            <w:tcBorders>
              <w:top w:val="single" w:sz="5" w:space="0" w:color="auto"/>
              <w:bottom w:val="single" w:sz="5" w:space="0" w:color="auto"/>
              <w:right w:val="single" w:sz="5" w:space="0" w:color="auto"/>
            </w:tcBorders>
            <w:shd w:val="clear" w:color="auto" w:fill="auto"/>
            <w:vAlign w:val="center"/>
          </w:tcPr>
          <w:p w:rsidR="003D6FA0" w:rsidRDefault="00042696">
            <w:pPr>
              <w:jc w:val="center"/>
            </w:pPr>
            <w:r>
              <w:rPr>
                <w:rFonts w:ascii="Times New Roman" w:hAnsi="Times New Roman"/>
                <w:b/>
                <w:sz w:val="24"/>
                <w:szCs w:val="24"/>
              </w:rPr>
              <w:t>Цена, рублей</w:t>
            </w:r>
          </w:p>
        </w:tc>
        <w:tc>
          <w:tcPr>
            <w:tcW w:w="2100" w:type="dxa"/>
            <w:tcBorders>
              <w:top w:val="single" w:sz="5" w:space="0" w:color="auto"/>
              <w:bottom w:val="single" w:sz="5" w:space="0" w:color="auto"/>
              <w:right w:val="single" w:sz="5" w:space="0" w:color="auto"/>
            </w:tcBorders>
            <w:shd w:val="clear" w:color="auto" w:fill="auto"/>
            <w:vAlign w:val="center"/>
          </w:tcPr>
          <w:p w:rsidR="003D6FA0" w:rsidRDefault="00042696">
            <w:pPr>
              <w:jc w:val="center"/>
            </w:pPr>
            <w:r>
              <w:rPr>
                <w:rFonts w:ascii="Times New Roman" w:hAnsi="Times New Roman"/>
                <w:b/>
                <w:sz w:val="24"/>
                <w:szCs w:val="24"/>
              </w:rPr>
              <w:t>Страна происхождения</w:t>
            </w:r>
          </w:p>
        </w:tc>
        <w:tc>
          <w:tcPr>
            <w:tcW w:w="1995" w:type="dxa"/>
            <w:tcBorders>
              <w:top w:val="single" w:sz="5" w:space="0" w:color="auto"/>
              <w:left w:val="single" w:sz="5" w:space="0" w:color="auto"/>
              <w:bottom w:val="single" w:sz="5" w:space="0" w:color="auto"/>
              <w:right w:val="single" w:sz="5" w:space="0" w:color="auto"/>
            </w:tcBorders>
            <w:shd w:val="clear" w:color="auto" w:fill="auto"/>
            <w:vAlign w:val="center"/>
          </w:tcPr>
          <w:p w:rsidR="003D6FA0" w:rsidRDefault="00042696">
            <w:pPr>
              <w:jc w:val="center"/>
            </w:pPr>
            <w:r>
              <w:rPr>
                <w:rFonts w:ascii="Times New Roman" w:hAnsi="Times New Roman"/>
                <w:b/>
                <w:sz w:val="24"/>
                <w:szCs w:val="24"/>
              </w:rPr>
              <w:t>Остаточный срок годности</w:t>
            </w:r>
          </w:p>
        </w:tc>
        <w:tc>
          <w:tcPr>
            <w:tcW w:w="1650" w:type="dxa"/>
            <w:tcBorders>
              <w:top w:val="single" w:sz="5" w:space="0" w:color="auto"/>
              <w:left w:val="single" w:sz="5" w:space="0" w:color="auto"/>
              <w:bottom w:val="single" w:sz="5" w:space="0" w:color="auto"/>
              <w:right w:val="single" w:sz="5" w:space="0" w:color="auto"/>
            </w:tcBorders>
            <w:shd w:val="clear" w:color="auto" w:fill="auto"/>
            <w:vAlign w:val="center"/>
          </w:tcPr>
          <w:p w:rsidR="003D6FA0" w:rsidRDefault="00042696">
            <w:pPr>
              <w:jc w:val="center"/>
            </w:pPr>
            <w:r>
              <w:rPr>
                <w:rFonts w:ascii="Times New Roman" w:hAnsi="Times New Roman"/>
                <w:b/>
                <w:sz w:val="24"/>
                <w:szCs w:val="24"/>
              </w:rPr>
              <w:t>ОКПД2\КТРУ</w:t>
            </w:r>
          </w:p>
        </w:tc>
        <w:tc>
          <w:tcPr>
            <w:tcW w:w="1905" w:type="dxa"/>
            <w:tcBorders>
              <w:top w:val="single" w:sz="5" w:space="0" w:color="auto"/>
              <w:left w:val="single" w:sz="5" w:space="0" w:color="auto"/>
              <w:bottom w:val="single" w:sz="5" w:space="0" w:color="auto"/>
              <w:right w:val="single" w:sz="5" w:space="0" w:color="auto"/>
            </w:tcBorders>
            <w:shd w:val="clear" w:color="auto" w:fill="auto"/>
            <w:vAlign w:val="center"/>
          </w:tcPr>
          <w:p w:rsidR="003D6FA0" w:rsidRDefault="00042696">
            <w:pPr>
              <w:jc w:val="center"/>
            </w:pPr>
            <w:r>
              <w:rPr>
                <w:rFonts w:ascii="Times New Roman" w:hAnsi="Times New Roman"/>
                <w:b/>
                <w:sz w:val="24"/>
                <w:szCs w:val="24"/>
              </w:rPr>
              <w:t>Код вида МИ</w:t>
            </w:r>
          </w:p>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lastRenderedPageBreak/>
              <w:t>1</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Система для передней межтеловой фиксации</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 xml:space="preserve">Межтеловые имплантаты – Кейджи для установки в шейный отдел позвоночника методом, изготовленный из рентегнопрозрачного материала PEEK Optima, имеющим модуль упругости, соответветствующий по </w:t>
            </w:r>
            <w:r>
              <w:rPr>
                <w:rFonts w:ascii="Times New Roman" w:hAnsi="Times New Roman"/>
                <w:sz w:val="24"/>
                <w:szCs w:val="24"/>
              </w:rPr>
              <w:t xml:space="preserve">эластичности свойствам кости. Кейдж имеет рентгенопозитивные маркеры, отражающие его позиционирование в межтеловом пространстве и фиксируется  двухлопастным механизмом из титанового сплава, обеспечивающим устойчивое положение кейджа после его установки. В </w:t>
            </w:r>
            <w:r>
              <w:rPr>
                <w:rFonts w:ascii="Times New Roman" w:hAnsi="Times New Roman"/>
                <w:sz w:val="24"/>
                <w:szCs w:val="24"/>
              </w:rPr>
              <w:t xml:space="preserve">теле кейджа имеются пространственные полости для заполнения костным материалом. Конструкция и техника установки кейджа  исключает избыточную дистракцию тел позвонков, ослабляющую его фиксацию после установки. Во избежание повреждения замыкающх пластин тел </w:t>
            </w:r>
            <w:r>
              <w:rPr>
                <w:rFonts w:ascii="Times New Roman" w:hAnsi="Times New Roman"/>
                <w:sz w:val="24"/>
                <w:szCs w:val="24"/>
              </w:rPr>
              <w:t>позвонков поверхность кейджа гладкая.</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lastRenderedPageBreak/>
              <w:t>2</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Имплантат Lyoplant  для закрытия дефектов твердой мозговой оболочки</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 xml:space="preserve">Имплантат для закрытия дефектов твердой мозговой оболочки головного или спинного мозга. Может быть использован в качестве </w:t>
            </w:r>
            <w:r>
              <w:rPr>
                <w:rFonts w:ascii="Times New Roman" w:hAnsi="Times New Roman"/>
                <w:sz w:val="24"/>
                <w:szCs w:val="24"/>
              </w:rPr>
              <w:t>противоспаечного барьера для предотвращения послеоперационного перидурального фиброза. Рассасывающийся, биосовместимый, двуслойный. Должен накладываться как без подшивания, так и с подшиванием. Размер: ширина не менее 50 мм и не более 75 мм, длина не менее</w:t>
            </w:r>
            <w:r>
              <w:rPr>
                <w:rFonts w:ascii="Times New Roman" w:hAnsi="Times New Roman"/>
                <w:sz w:val="24"/>
                <w:szCs w:val="24"/>
              </w:rPr>
              <w:t xml:space="preserve"> 70 мм и не более 75 мм. Должен быть изготовлен на основе бычьего коллагена: верхний слой из коллагена, полученного из коровьего перикарда; нижний слой – из очищенной коровьей кожи. Слои должны быть соединены методом лиофилизации, без помощи химических свя</w:t>
            </w:r>
            <w:r>
              <w:rPr>
                <w:rFonts w:ascii="Times New Roman" w:hAnsi="Times New Roman"/>
                <w:sz w:val="24"/>
                <w:szCs w:val="24"/>
              </w:rPr>
              <w:t>зующих. Полное восстановление твердой мозговой оболочки после протезирования не более 3 месяцев. Индивидуальная двухслойная стерильная упаковка. Указание срока стерильности изделия и номера партии на упаковке. Стерилизация этиленоксидом, без возможности ре</w:t>
            </w:r>
            <w:r>
              <w:rPr>
                <w:rFonts w:ascii="Times New Roman" w:hAnsi="Times New Roman"/>
                <w:sz w:val="24"/>
                <w:szCs w:val="24"/>
              </w:rPr>
              <w:t>стерилизации. В упаковке 1 шт.</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lastRenderedPageBreak/>
              <w:t>3</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Кейдж грудо-поясничный</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Кейдж должен быть предназначен для стабилизации грудо-поясничного отдела позвоночника при дегенеративных заболеваниях задним доступом.</w:t>
            </w:r>
          </w:p>
          <w:p w:rsidR="003D6FA0" w:rsidRDefault="00042696">
            <w:pPr>
              <w:jc w:val="center"/>
            </w:pPr>
            <w:r>
              <w:rPr>
                <w:rFonts w:ascii="Times New Roman" w:hAnsi="Times New Roman"/>
                <w:sz w:val="24"/>
                <w:szCs w:val="24"/>
              </w:rPr>
              <w:t>Имплантат должен иметь закругленную на концах форму,</w:t>
            </w:r>
            <w:r>
              <w:rPr>
                <w:rFonts w:ascii="Times New Roman" w:hAnsi="Times New Roman"/>
                <w:sz w:val="24"/>
                <w:szCs w:val="24"/>
              </w:rPr>
              <w:t xml:space="preserve"> закругленный край должен способствовать легкому введению кейджа.</w:t>
            </w:r>
          </w:p>
          <w:p w:rsidR="003D6FA0" w:rsidRDefault="00042696">
            <w:pPr>
              <w:jc w:val="center"/>
            </w:pPr>
            <w:r>
              <w:rPr>
                <w:rFonts w:ascii="Times New Roman" w:hAnsi="Times New Roman"/>
                <w:sz w:val="24"/>
                <w:szCs w:val="24"/>
              </w:rPr>
              <w:t>С одного края кейдж должен иметь резьбовое отверстие для надежной фиксации в теле имплантата отвертки.</w:t>
            </w:r>
          </w:p>
          <w:p w:rsidR="003D6FA0" w:rsidRDefault="00042696">
            <w:pPr>
              <w:jc w:val="center"/>
            </w:pPr>
            <w:r>
              <w:rPr>
                <w:rFonts w:ascii="Times New Roman" w:hAnsi="Times New Roman"/>
                <w:sz w:val="24"/>
                <w:szCs w:val="24"/>
              </w:rPr>
              <w:t xml:space="preserve">Кейдж должен иметь ребристую поверхность в виде пирамидальных зубцов, что снижает </w:t>
            </w:r>
            <w:r>
              <w:rPr>
                <w:rFonts w:ascii="Times New Roman" w:hAnsi="Times New Roman"/>
                <w:sz w:val="24"/>
                <w:szCs w:val="24"/>
              </w:rPr>
              <w:t>вероятность миграции имплантата.</w:t>
            </w:r>
          </w:p>
          <w:p w:rsidR="003D6FA0" w:rsidRDefault="00042696">
            <w:pPr>
              <w:jc w:val="center"/>
            </w:pPr>
            <w:r>
              <w:rPr>
                <w:rFonts w:ascii="Times New Roman" w:hAnsi="Times New Roman"/>
                <w:sz w:val="24"/>
                <w:szCs w:val="24"/>
              </w:rPr>
              <w:t>Сверху имплантат должен иметь прямоугольное окошко для заполнения кейджа ауто- или синтетической костью, кейдж также должен иметь не менее 3-х сквозных отверстия в боковой части.</w:t>
            </w:r>
          </w:p>
          <w:p w:rsidR="003D6FA0" w:rsidRDefault="00042696">
            <w:pPr>
              <w:jc w:val="center"/>
            </w:pPr>
            <w:r>
              <w:rPr>
                <w:rFonts w:ascii="Times New Roman" w:hAnsi="Times New Roman"/>
                <w:sz w:val="24"/>
                <w:szCs w:val="24"/>
              </w:rPr>
              <w:t>Высота кейджа 9 мм.</w:t>
            </w:r>
          </w:p>
          <w:p w:rsidR="003D6FA0" w:rsidRDefault="00042696">
            <w:pPr>
              <w:jc w:val="center"/>
            </w:pPr>
            <w:r>
              <w:rPr>
                <w:rFonts w:ascii="Times New Roman" w:hAnsi="Times New Roman"/>
                <w:sz w:val="24"/>
                <w:szCs w:val="24"/>
              </w:rPr>
              <w:t xml:space="preserve">Ширина 8 мм, длина 22 </w:t>
            </w:r>
            <w:r>
              <w:rPr>
                <w:rFonts w:ascii="Times New Roman" w:hAnsi="Times New Roman"/>
                <w:sz w:val="24"/>
                <w:szCs w:val="24"/>
              </w:rPr>
              <w:t>мм.</w:t>
            </w:r>
          </w:p>
          <w:p w:rsidR="003D6FA0" w:rsidRDefault="00042696">
            <w:pPr>
              <w:jc w:val="center"/>
            </w:pPr>
            <w:r>
              <w:rPr>
                <w:rFonts w:ascii="Times New Roman" w:hAnsi="Times New Roman"/>
                <w:sz w:val="24"/>
                <w:szCs w:val="24"/>
              </w:rPr>
              <w:t>Имплантат должен быть изготовлен из материала РЕЕК  (полиэфирэфиркетон) / титан.</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lastRenderedPageBreak/>
              <w:t>4</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Клипс для закрытия трепанационного отверстия</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Имплантируемое изделие, предназначенное для двухсторонней фиксации костного лоскута после краниотомии и закрытия</w:t>
            </w:r>
            <w:r>
              <w:rPr>
                <w:rFonts w:ascii="Times New Roman" w:hAnsi="Times New Roman"/>
                <w:sz w:val="24"/>
                <w:szCs w:val="24"/>
              </w:rPr>
              <w:t xml:space="preserve"> трепанационных отверстий. Нерассасывающийся. Биосовместимый и биоинертный. Материал - титановый сплав. Представляет собой две пластины и стержень с резьбой и втулкой: нижняя пластина соединена со стержнем, верхняя пластина подвижна. Размеры: диаметр каждо</w:t>
            </w:r>
            <w:r>
              <w:rPr>
                <w:rFonts w:ascii="Times New Roman" w:hAnsi="Times New Roman"/>
                <w:sz w:val="24"/>
                <w:szCs w:val="24"/>
              </w:rPr>
              <w:t>й пластины 11 мм, длина стержня 51 мм. Форма пластин: выпукло-вогнутые диски и блокирующие зубцы, проходящие вдоль всего края вогнутой стороны, для фиксации. Без отверстий. Неферромагнитный, позволяет проводить МРТ исследования в магнитном поле интенсивнос</w:t>
            </w:r>
            <w:r>
              <w:rPr>
                <w:rFonts w:ascii="Times New Roman" w:hAnsi="Times New Roman"/>
                <w:sz w:val="24"/>
                <w:szCs w:val="24"/>
              </w:rPr>
              <w:t>тью до 3 Тесла. Индивидуальная стерильная упаковка с маркировкой завода изготовителя, наименованием изделия. Совместимость с имеющимся в больнице инструментом для наложения пластин, производства Jeil Medical.</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30</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lastRenderedPageBreak/>
              <w:t>5</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 xml:space="preserve">Клипс для закрытия </w:t>
            </w:r>
            <w:r>
              <w:rPr>
                <w:rFonts w:ascii="Times New Roman" w:hAnsi="Times New Roman"/>
                <w:sz w:val="24"/>
                <w:szCs w:val="24"/>
              </w:rPr>
              <w:t>трепанационного отверстия</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Имплантируемое изделие, предназначенное для двухсторонней фиксации костного лоскута после краниотомии и закрытия трепанационных отверстий. Нерассасывающийся. Биосовместимый и биоинертный. Материал - титановый сплав. Представляет с</w:t>
            </w:r>
            <w:r>
              <w:rPr>
                <w:rFonts w:ascii="Times New Roman" w:hAnsi="Times New Roman"/>
                <w:sz w:val="24"/>
                <w:szCs w:val="24"/>
              </w:rPr>
              <w:t>обой две пластины и стержень с резьбой и втулкой: нижняя пластина соединена со стержнем, верхняя пластина подвижна. Размеры: диаметр каждой пластины 16 мм, длина стержня 51 мм. Форма пластин: выпукло-вогнутые диски и блокирующие зубцы, проходящие вдоль все</w:t>
            </w:r>
            <w:r>
              <w:rPr>
                <w:rFonts w:ascii="Times New Roman" w:hAnsi="Times New Roman"/>
                <w:sz w:val="24"/>
                <w:szCs w:val="24"/>
              </w:rPr>
              <w:t>го края вогнутой стороны, для фиксации. Без отверстий. Неферромагнитный, позволяет проводить МРТ исследования в магнитном поле интенсивностью до 3 Тесла. Индивидуальная стерильная упаковка с маркировкой завода изготовителя, наименованием изделия. Совместим</w:t>
            </w:r>
            <w:r>
              <w:rPr>
                <w:rFonts w:ascii="Times New Roman" w:hAnsi="Times New Roman"/>
                <w:sz w:val="24"/>
                <w:szCs w:val="24"/>
              </w:rPr>
              <w:t>ость с имеющимся в больнице инструментом для наложения пластин, производства Jeil Medical.</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30</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lastRenderedPageBreak/>
              <w:t>6</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Материал гемостатический рассывающийся Серджисел Фибриллар 10,2 х 10,2 см</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Стерильный местный рассасывающийся гемостатический монокомпонентный материал</w:t>
            </w:r>
            <w:r>
              <w:rPr>
                <w:rFonts w:ascii="Times New Roman" w:hAnsi="Times New Roman"/>
                <w:sz w:val="24"/>
                <w:szCs w:val="24"/>
              </w:rPr>
              <w:t xml:space="preserve"> на основе окисленной регенерированной целлюлозы растительного происхождения в виде семислойной нетканой волокнистой структуры, позволяющей моделировать размер и форму фрагмента, для остановки капиллярных, венозных и слабых артериальных кровотечений. При к</w:t>
            </w:r>
            <w:r>
              <w:rPr>
                <w:rFonts w:ascii="Times New Roman" w:hAnsi="Times New Roman"/>
                <w:sz w:val="24"/>
                <w:szCs w:val="24"/>
              </w:rPr>
              <w:t xml:space="preserve">онтакте материала с кровью создается кислая среда (РН 2,5-3), которая усиливает его гемостатические свойства. Благодаря кислотному уровеню pH создается неблагоприятная среда для роста и развития подавляющего количества микроорганизмов: обладает доказанным </w:t>
            </w:r>
            <w:r>
              <w:rPr>
                <w:rFonts w:ascii="Times New Roman" w:hAnsi="Times New Roman"/>
                <w:sz w:val="24"/>
                <w:szCs w:val="24"/>
              </w:rPr>
              <w:t xml:space="preserve">бактерицидным эффектом против 5 основных штаммов патогенов, вызывающих нозокомиальные инфекции (устойчивый к метициллину Staphylococcus aureus, устойчивый к метициллину Staphylococcus epidermidis, устойчивый к ванкомицину Enterococcus faecium, Escherichia </w:t>
            </w:r>
            <w:r>
              <w:rPr>
                <w:rFonts w:ascii="Times New Roman" w:hAnsi="Times New Roman"/>
                <w:sz w:val="24"/>
                <w:szCs w:val="24"/>
              </w:rPr>
              <w:t>coli and Pseudomonas aeruginosa, а также против  широкого спектра грамположительных и грамотрицательных микроорганизмов включая другие антибиотикоустойчивые штаммы MRSA, MRSE, PRSP, VRE. Возможность проведения электрокоагуляции через ткань гемостатика. Раз</w:t>
            </w:r>
            <w:r>
              <w:rPr>
                <w:rFonts w:ascii="Times New Roman" w:hAnsi="Times New Roman"/>
                <w:sz w:val="24"/>
                <w:szCs w:val="24"/>
              </w:rPr>
              <w:t>мер  не менее 10.2 см x 10.2 см.  Каждая штука в индивидуальной стерильной упаковке. Хранение при комнатной температуре, не ниже 15℃ в течение всего срока годности.</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lastRenderedPageBreak/>
              <w:t>7</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 xml:space="preserve">Материал рассывающийся хирургический гемостатический СЕРДЖИСЕЛ ФИБРИЛЛАР 5,1 </w:t>
            </w:r>
            <w:r>
              <w:rPr>
                <w:rFonts w:ascii="Times New Roman" w:hAnsi="Times New Roman"/>
                <w:sz w:val="24"/>
                <w:szCs w:val="24"/>
              </w:rPr>
              <w:t>см х 10,2 см</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Стерильный местный рассасывающийся гемостатический монокомпонентный материал на основе окисленной регенерированной целлюлозы растительного происхождения в виде семислойной нетканой волокнистой структуры, позволяющей моделировать размер и форму</w:t>
            </w:r>
            <w:r>
              <w:rPr>
                <w:rFonts w:ascii="Times New Roman" w:hAnsi="Times New Roman"/>
                <w:sz w:val="24"/>
                <w:szCs w:val="24"/>
              </w:rPr>
              <w:t xml:space="preserve"> фрагмента, для остановки капиллярных, венозных и слабых артериальных кровотечений. При контакте материала с кровью создается кислая среда (РН 2,5-3), которая усиливает его гемостатические свойства. Благодаря кислотному уровеню pH создается неблагоприятная</w:t>
            </w:r>
            <w:r>
              <w:rPr>
                <w:rFonts w:ascii="Times New Roman" w:hAnsi="Times New Roman"/>
                <w:sz w:val="24"/>
                <w:szCs w:val="24"/>
              </w:rPr>
              <w:t xml:space="preserve"> среда для роста и развития подавляющего количества микроорганизмов: обладает доказанным бактерицидным эффектом против 5 основных штаммов патогенов, вызывающих нозокомиальные инфекции (устойчивый к метициллину Staphylococcus aureus, устойчивый к метициллин</w:t>
            </w:r>
            <w:r>
              <w:rPr>
                <w:rFonts w:ascii="Times New Roman" w:hAnsi="Times New Roman"/>
                <w:sz w:val="24"/>
                <w:szCs w:val="24"/>
              </w:rPr>
              <w:t>у Staphylococcus epidermidis, устойчивый к ванкомицину Enterococcus faecium, Escherichia coli and Pseudomonas aeruginosa, а также против  широкого спектра грамположительных и грамотрицательных микроорганизмов включая другие антибиотикоустойчивые штаммы MRS</w:t>
            </w:r>
            <w:r>
              <w:rPr>
                <w:rFonts w:ascii="Times New Roman" w:hAnsi="Times New Roman"/>
                <w:sz w:val="24"/>
                <w:szCs w:val="24"/>
              </w:rPr>
              <w:t>A, MRSE, PRSP, VRE. Возможность проведения электрокоагуляции через ткань гемостатика. Размер  не менее 5.1 х 10.2 см.  Форма поставки по 10 штук в коробке, каждая штука в индивидуальной стерильной упаковке. Хранение при комнатной температуре, не ниже 15℃ в</w:t>
            </w:r>
            <w:r>
              <w:rPr>
                <w:rFonts w:ascii="Times New Roman" w:hAnsi="Times New Roman"/>
                <w:sz w:val="24"/>
                <w:szCs w:val="24"/>
              </w:rPr>
              <w:t xml:space="preserve"> течение всего срока годности.</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lastRenderedPageBreak/>
              <w:t>8</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Система для наружного люмбального дренажа</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 xml:space="preserve">Комплект наружного люмбального дренажа. Комплект включает рентгеноконтрастный люмбальный катетер длиной 80 см с закрытым концом, проводник длиной 100 см с тефлоновым </w:t>
            </w:r>
            <w:r>
              <w:rPr>
                <w:rFonts w:ascii="Times New Roman" w:hAnsi="Times New Roman"/>
                <w:sz w:val="24"/>
                <w:szCs w:val="24"/>
              </w:rPr>
              <w:t>покрытием, иглу Туохи 14 G с метками глубины через каждый 1 см, "female" коннектор типа Луэра с заглушкой. Поставляется в стерильной упаковке.</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lastRenderedPageBreak/>
              <w:t>9</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Пинцет биполярный прямой</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 xml:space="preserve">Назначение: для биполярной коагуляции. Пинцет стерильный, одноразового </w:t>
            </w:r>
            <w:r>
              <w:rPr>
                <w:rFonts w:ascii="Times New Roman" w:hAnsi="Times New Roman"/>
                <w:sz w:val="24"/>
                <w:szCs w:val="24"/>
              </w:rPr>
              <w:t xml:space="preserve">применения. Пинцет байонетной формы, рабочая часть прямая, узкий дизайн для лучшего обзора под микроскопом; эргономичный дизайн рукоятки с широкими, рифлеными поверхностями для лучшего захвата инструмента и предотвращения скольжения, шириной не менннее 11 </w:t>
            </w:r>
            <w:r>
              <w:rPr>
                <w:rFonts w:ascii="Times New Roman" w:hAnsi="Times New Roman"/>
                <w:sz w:val="24"/>
                <w:szCs w:val="24"/>
              </w:rPr>
              <w:t>мм и не более 11,5 мм для соответсвующей эргономики. Бранши должны быть выполнены из полиамида марки Rilsan PA11 обладающим высокой теплопроводностью для быстрого отвода избытка тепла. Длина бранш (рабочей части) 85 мм. Длина изделия 200 мм. Кончики пинцет</w:t>
            </w:r>
            <w:r>
              <w:rPr>
                <w:rFonts w:ascii="Times New Roman" w:hAnsi="Times New Roman"/>
                <w:sz w:val="24"/>
                <w:szCs w:val="24"/>
              </w:rPr>
              <w:t>а должны обладать антипригарным свойством, выполнены из серебро с покрытыем из твердого сплава серебра. Диаметр не более 3,8 мм. Наконечники должны быть прямой формы, шириной 1,0 мм длиной 8 мм. Диаметр наконечника должен быть указан на пинцете для быстрой</w:t>
            </w:r>
            <w:r>
              <w:rPr>
                <w:rFonts w:ascii="Times New Roman" w:hAnsi="Times New Roman"/>
                <w:sz w:val="24"/>
                <w:szCs w:val="24"/>
              </w:rPr>
              <w:t xml:space="preserve"> идентификации персоналом. На проксимальном конце расположено кабельное соединение стандартный двухконтактный разъем для обеспечения совместимости с широким спектром генераторов. (имеющимся у заказчика) . Поставляются в индивидуальной стерильной упаковке. </w:t>
            </w:r>
            <w:r>
              <w:rPr>
                <w:rFonts w:ascii="Times New Roman" w:hAnsi="Times New Roman"/>
                <w:sz w:val="24"/>
                <w:szCs w:val="24"/>
              </w:rPr>
              <w:t>В упаковке 1 шт.</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lastRenderedPageBreak/>
              <w:t>10</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Стержень миниинвазивный 5,5 мм, длина 45 мм, изогнутый</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Стержень титановый для минимальноинвазивных операций Тип прямой минимальноинвазивный</w:t>
            </w:r>
          </w:p>
          <w:p w:rsidR="003D6FA0" w:rsidRDefault="00042696">
            <w:pPr>
              <w:jc w:val="center"/>
            </w:pPr>
            <w:r>
              <w:rPr>
                <w:rFonts w:ascii="Times New Roman" w:hAnsi="Times New Roman"/>
                <w:sz w:val="24"/>
                <w:szCs w:val="24"/>
              </w:rPr>
              <w:t>Материал сплав титана</w:t>
            </w:r>
          </w:p>
          <w:p w:rsidR="003D6FA0" w:rsidRDefault="00042696">
            <w:pPr>
              <w:jc w:val="center"/>
            </w:pPr>
            <w:r>
              <w:rPr>
                <w:rFonts w:ascii="Times New Roman" w:hAnsi="Times New Roman"/>
                <w:sz w:val="24"/>
                <w:szCs w:val="24"/>
              </w:rPr>
              <w:t>Диаметр стержня, мм 5,5</w:t>
            </w:r>
          </w:p>
          <w:p w:rsidR="003D6FA0" w:rsidRDefault="00042696">
            <w:pPr>
              <w:jc w:val="center"/>
            </w:pPr>
            <w:r>
              <w:rPr>
                <w:rFonts w:ascii="Times New Roman" w:hAnsi="Times New Roman"/>
                <w:sz w:val="24"/>
                <w:szCs w:val="24"/>
              </w:rPr>
              <w:t>Длина стержня, мм 45</w:t>
            </w:r>
          </w:p>
          <w:p w:rsidR="003D6FA0" w:rsidRDefault="00042696">
            <w:pPr>
              <w:jc w:val="center"/>
            </w:pPr>
            <w:r>
              <w:rPr>
                <w:rFonts w:ascii="Times New Roman" w:hAnsi="Times New Roman"/>
                <w:sz w:val="24"/>
                <w:szCs w:val="24"/>
              </w:rPr>
              <w:t xml:space="preserve">С одной стороны </w:t>
            </w:r>
            <w:r>
              <w:rPr>
                <w:rFonts w:ascii="Times New Roman" w:hAnsi="Times New Roman"/>
                <w:sz w:val="24"/>
                <w:szCs w:val="24"/>
              </w:rPr>
              <w:t>пулевидное окончание для облегчения проведения через мягкие ткани, с другой стороны тупой кончик для фиксации к установочному инструменту соответствие.</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11</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Стержень миниинвазивный 5,5 мм, длина 50 мм, изогнутый</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 xml:space="preserve">Стержень титановый для </w:t>
            </w:r>
            <w:r>
              <w:rPr>
                <w:rFonts w:ascii="Times New Roman" w:hAnsi="Times New Roman"/>
                <w:sz w:val="24"/>
                <w:szCs w:val="24"/>
              </w:rPr>
              <w:t>минимальноинвазивных операций Тип прямой минимальноинвазивный</w:t>
            </w:r>
          </w:p>
          <w:p w:rsidR="003D6FA0" w:rsidRDefault="00042696">
            <w:pPr>
              <w:jc w:val="center"/>
            </w:pPr>
            <w:r>
              <w:rPr>
                <w:rFonts w:ascii="Times New Roman" w:hAnsi="Times New Roman"/>
                <w:sz w:val="24"/>
                <w:szCs w:val="24"/>
              </w:rPr>
              <w:t>Материал сплав титана</w:t>
            </w:r>
          </w:p>
          <w:p w:rsidR="003D6FA0" w:rsidRDefault="00042696">
            <w:pPr>
              <w:jc w:val="center"/>
            </w:pPr>
            <w:r>
              <w:rPr>
                <w:rFonts w:ascii="Times New Roman" w:hAnsi="Times New Roman"/>
                <w:sz w:val="24"/>
                <w:szCs w:val="24"/>
              </w:rPr>
              <w:t>Диаметр стержня, мм 5,5</w:t>
            </w:r>
          </w:p>
          <w:p w:rsidR="003D6FA0" w:rsidRDefault="00042696">
            <w:pPr>
              <w:jc w:val="center"/>
            </w:pPr>
            <w:r>
              <w:rPr>
                <w:rFonts w:ascii="Times New Roman" w:hAnsi="Times New Roman"/>
                <w:sz w:val="24"/>
                <w:szCs w:val="24"/>
              </w:rPr>
              <w:t>Длина стержня, мм 50</w:t>
            </w:r>
          </w:p>
          <w:p w:rsidR="003D6FA0" w:rsidRDefault="00042696">
            <w:pPr>
              <w:jc w:val="center"/>
            </w:pPr>
            <w:r>
              <w:rPr>
                <w:rFonts w:ascii="Times New Roman" w:hAnsi="Times New Roman"/>
                <w:sz w:val="24"/>
                <w:szCs w:val="24"/>
              </w:rPr>
              <w:t>С одной стороны пулевидное окончание для облегчения проведения через мягкие ткани, с другой стороны тупой кончик для фиксации к</w:t>
            </w:r>
            <w:r>
              <w:rPr>
                <w:rFonts w:ascii="Times New Roman" w:hAnsi="Times New Roman"/>
                <w:sz w:val="24"/>
                <w:szCs w:val="24"/>
              </w:rPr>
              <w:t xml:space="preserve"> установочному инструменту соответствие.</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lastRenderedPageBreak/>
              <w:t>12</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Набор трубок для Clearvision</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Трубка ирригационная, набор трубок с пункционной иглой, одноразовый.  Для использования с прибором с KARL STORZ CLEARVISION®. Стерильно, 10 шт./уп.</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13</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 xml:space="preserve">Трубка </w:t>
            </w:r>
            <w:r>
              <w:rPr>
                <w:rFonts w:ascii="Times New Roman" w:hAnsi="Times New Roman"/>
                <w:sz w:val="24"/>
                <w:szCs w:val="24"/>
              </w:rPr>
              <w:t>соединительная от помпы к эндоинструменту</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Трубка соединительная от помпы к эндоинструменту,  силиконовая, Набор трубок для  Clearvision , 25 штук в упаковке.</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lastRenderedPageBreak/>
              <w:t>14</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Фиксаторы позвоночника Страйкер Спайн (поясничный отдел позвоночника) без кейджа</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Фиксаторы позвоночника Страйкер Спайн (поясничный отдел позвоночника). Состоит:</w:t>
            </w:r>
          </w:p>
          <w:p w:rsidR="003D6FA0" w:rsidRDefault="00042696">
            <w:pPr>
              <w:jc w:val="center"/>
            </w:pPr>
            <w:r>
              <w:rPr>
                <w:rFonts w:ascii="Times New Roman" w:hAnsi="Times New Roman"/>
                <w:sz w:val="24"/>
                <w:szCs w:val="24"/>
              </w:rPr>
              <w:t>Винт моноаксиальный XIA (для задней транспедикулярной фиксации позвоночника) 2 шт.:  Изготовлен из материала – титановый сплав Ti-6Al-4V градация V американский стандарт ASTM F</w:t>
            </w:r>
            <w:r>
              <w:rPr>
                <w:rFonts w:ascii="Times New Roman" w:hAnsi="Times New Roman"/>
                <w:sz w:val="24"/>
                <w:szCs w:val="24"/>
              </w:rPr>
              <w:t>136, немецкий стандарт DIN 17850, ISO  5832-3. Цветовая маркировка приобретается путем анодизации поверхности имплантов.Низкопрофильные моноаксиальные камертонового типа. Винт имеет компрессирующую резьбу в той части, которая будет находиться в ножке позво</w:t>
            </w:r>
            <w:r>
              <w:rPr>
                <w:rFonts w:ascii="Times New Roman" w:hAnsi="Times New Roman"/>
                <w:sz w:val="24"/>
                <w:szCs w:val="24"/>
              </w:rPr>
              <w:t>нка, и специальную широколопастную резьбу для фиксации в теле позвонка. Имеются специальные пазы для инструментальной установки, что делает не нужным использования редукционных винтов. Кончик винтов тупой 60° для предотвращения повреждения сосудов. Диаметр</w:t>
            </w:r>
            <w:r>
              <w:rPr>
                <w:rFonts w:ascii="Times New Roman" w:hAnsi="Times New Roman"/>
                <w:sz w:val="24"/>
                <w:szCs w:val="24"/>
              </w:rPr>
              <w:t xml:space="preserve"> дистального сердечника винтов с диаметром резьбы 4.5 мм – 2.0 мм. Диаметр проксимального сердечника винтов с диаметром резьбы 4.5 мм – 3.7 мм. Диаметр дистального сердечника винтов с диаметром резьбы 5.5 мм – 2.5 мм. Диаметр проксимального сердечника винт</w:t>
            </w:r>
            <w:r>
              <w:rPr>
                <w:rFonts w:ascii="Times New Roman" w:hAnsi="Times New Roman"/>
                <w:sz w:val="24"/>
                <w:szCs w:val="24"/>
              </w:rPr>
              <w:t xml:space="preserve">ов с диаметром резьбы  5.5 мм  - 4.6 мм. Диаметр дистального сердечника винтов с диаметром резьбы 6.5 мм – 2.9 мм. Диаметр проксимального сердечника винтов с диаметром резьбы 6.5 мм – 5.1 мм. Диаметр дистального сердечника винтов с диаметром резьбы 7.5 мм </w:t>
            </w:r>
            <w:r>
              <w:rPr>
                <w:rFonts w:ascii="Times New Roman" w:hAnsi="Times New Roman"/>
                <w:sz w:val="24"/>
                <w:szCs w:val="24"/>
              </w:rPr>
              <w:t>– 3.6 мм. Диаметр проксимального сердечника винтов с диаметром резьбы 7.5 мм – 6.1 мм.. Диаметр моноаксальных винтов обязательно:4.5 мм; 5.5 мм; 6.5 мм; 7.5мм; 8.5мм. Длина моноаксальных винтов обязательно:55 мм - 100 мм. Высота головки моноаксильного винт</w:t>
            </w:r>
            <w:r>
              <w:rPr>
                <w:rFonts w:ascii="Times New Roman" w:hAnsi="Times New Roman"/>
                <w:sz w:val="24"/>
                <w:szCs w:val="24"/>
              </w:rPr>
              <w:t>а- 13.0 мм. Ширина головки моноакиального винта – 13,9 мм. Глубина посадочного место под стержень – 10,0 мм. Имеется литерная маркировка производителя. Материал возможно многократно подвергать стерилизации.</w:t>
            </w:r>
          </w:p>
          <w:p w:rsidR="003D6FA0" w:rsidRDefault="00042696">
            <w:pPr>
              <w:jc w:val="center"/>
            </w:pPr>
            <w:r>
              <w:rPr>
                <w:rFonts w:ascii="Times New Roman" w:hAnsi="Times New Roman"/>
                <w:sz w:val="24"/>
                <w:szCs w:val="24"/>
              </w:rPr>
              <w:t>Винт полиаксиальный XIA (для задней транспедикуля</w:t>
            </w:r>
            <w:r>
              <w:rPr>
                <w:rFonts w:ascii="Times New Roman" w:hAnsi="Times New Roman"/>
                <w:sz w:val="24"/>
                <w:szCs w:val="24"/>
              </w:rPr>
              <w:t>рной фиксации) 4 шт.: Винт низкопрофильный полиаксиальный транспедикулярный камертонового типа. Изготовлен из материала – титановый сплав Ti-6Al-4V градация V американский стандарт ASTM F136, немецкий стандарт DIN 17850, ISO  5832-3. Каждый винт имеет комп</w:t>
            </w:r>
            <w:r>
              <w:rPr>
                <w:rFonts w:ascii="Times New Roman" w:hAnsi="Times New Roman"/>
                <w:sz w:val="24"/>
                <w:szCs w:val="24"/>
              </w:rPr>
              <w:t>рессирующую резьбу в той части, которая будет находиться в ножке позвонка, и специальную широколопастную резьбу для фиксации в теле позвонка. Кончик винтов тупой 60° для предотвращения повреждения сосудов. Каждый винт имеет специальные пазы по бокам головк</w:t>
            </w:r>
            <w:r>
              <w:rPr>
                <w:rFonts w:ascii="Times New Roman" w:hAnsi="Times New Roman"/>
                <w:sz w:val="24"/>
                <w:szCs w:val="24"/>
              </w:rPr>
              <w:t xml:space="preserve">и винта для  инструментальной установки и репозиции спондилолистеза, что делает не нужным использования редукционных винтов. Общая величина степени свободы вращения 60° при любом диаметре винта. Диаметр дистального сердечника винтов с диаметром резьбы 4.5 </w:t>
            </w:r>
            <w:r>
              <w:rPr>
                <w:rFonts w:ascii="Times New Roman" w:hAnsi="Times New Roman"/>
                <w:sz w:val="24"/>
                <w:szCs w:val="24"/>
              </w:rPr>
              <w:t>мм – 2.0 мм. Диаметр проксимального сердечника винтов с диаметром резьбы 4.5 мм – 3.7 мм. Диаметр дистального сердечника винтов с диаметром резьбы 5.5 мм – 2.5 мм. Диаметр проксимального сердечника винтов с диаметром резьбы  5.5 мм  - 4.6 мм. Диаметр диста</w:t>
            </w:r>
            <w:r>
              <w:rPr>
                <w:rFonts w:ascii="Times New Roman" w:hAnsi="Times New Roman"/>
                <w:sz w:val="24"/>
                <w:szCs w:val="24"/>
              </w:rPr>
              <w:t>льного сердечника винтов с диаметром резьбы 6.5 мм – 2.9 мм. Диаметр проксимального сердечника винтов с диаметром резьбы 6.5 мм – 5.1 мм. Диаметр дистального сердечника винтов с диаметром резьбы 7.5 мм – 3.6 мм. Диаметр проксимального сердечника винтов с д</w:t>
            </w:r>
            <w:r>
              <w:rPr>
                <w:rFonts w:ascii="Times New Roman" w:hAnsi="Times New Roman"/>
                <w:sz w:val="24"/>
                <w:szCs w:val="24"/>
              </w:rPr>
              <w:t>иаметром резьбы 7.5 мм – 6.1 мм. Диаметры винтов: 4.5 мм; 5.5 мм; 6.5 мм; 7.5мм; 8.5мм; 9.5 мм. Длины винтов: 55 мм - 100 мм. Высота головки полиаксиального винта 15,3 мм. Ширина головки полиаксиального винта 13,9 мм. Глубина посадочного место под стержень</w:t>
            </w:r>
            <w:r>
              <w:rPr>
                <w:rFonts w:ascii="Times New Roman" w:hAnsi="Times New Roman"/>
                <w:sz w:val="24"/>
                <w:szCs w:val="24"/>
              </w:rPr>
              <w:t xml:space="preserve"> полиаксиального винта 12,7 мм. Имеется литерная маркировка производителя.Материал возможно многократно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w:t>
            </w:r>
            <w:r>
              <w:rPr>
                <w:rFonts w:ascii="Times New Roman" w:hAnsi="Times New Roman"/>
                <w:sz w:val="24"/>
                <w:szCs w:val="24"/>
              </w:rPr>
              <w:t>РТ и КТ исследованиями.</w:t>
            </w:r>
          </w:p>
          <w:p w:rsidR="003D6FA0" w:rsidRDefault="00042696">
            <w:pPr>
              <w:jc w:val="center"/>
            </w:pPr>
            <w:r>
              <w:rPr>
                <w:rFonts w:ascii="Times New Roman" w:hAnsi="Times New Roman"/>
                <w:sz w:val="24"/>
                <w:szCs w:val="24"/>
              </w:rPr>
              <w:t xml:space="preserve">Винт блокирующий (блокиратор) XIA, (для винтов полиаксиальных, моноаксиальных для задней транспедикулярной фиксации позвоночника) 6 шт. Изготовлен из материала – титановый сплав Ti-6Al-4V градация V американский стандарт ASTM F136, </w:t>
            </w:r>
            <w:r>
              <w:rPr>
                <w:rFonts w:ascii="Times New Roman" w:hAnsi="Times New Roman"/>
                <w:sz w:val="24"/>
                <w:szCs w:val="24"/>
              </w:rPr>
              <w:t>немецкий стандарт DIN 17850, ISO  5832-3. Однокомпонентный низкопрофильный внутренний, под гексагональную отвертку диаметром 5 мм, имеет уникальную резьбу трапециевидной формы, препятствующую проскальзыванию, обеспечивающую легкость установки и снижение во</w:t>
            </w:r>
            <w:r>
              <w:rPr>
                <w:rFonts w:ascii="Times New Roman" w:hAnsi="Times New Roman"/>
                <w:sz w:val="24"/>
                <w:szCs w:val="24"/>
              </w:rPr>
              <w:t>зможности вывинчивания. Количество витков резьба три.</w:t>
            </w:r>
          </w:p>
          <w:p w:rsidR="003D6FA0" w:rsidRDefault="00042696">
            <w:pPr>
              <w:jc w:val="center"/>
            </w:pPr>
            <w:r>
              <w:rPr>
                <w:rFonts w:ascii="Times New Roman" w:hAnsi="Times New Roman"/>
                <w:sz w:val="24"/>
                <w:szCs w:val="24"/>
              </w:rPr>
              <w:t>На верней поверхности восемь лазерных насечки, расположенные друг от друга на равном расстоянии от внутреннего диаметра к наружному. Один блокирующий винт - блокирование в один шаг. Патентованная констр</w:t>
            </w:r>
            <w:r>
              <w:rPr>
                <w:rFonts w:ascii="Times New Roman" w:hAnsi="Times New Roman"/>
                <w:sz w:val="24"/>
                <w:szCs w:val="24"/>
              </w:rPr>
              <w:t>укция блокирующего винта исключает самопроизвольное выкручивание. Имеется литерная маркировка производителя. Материал возможно многократно подвергать стерилизации. Применение блокирующих винтов для переднебоковой фиксации позвоночника. Совместимость инстру</w:t>
            </w:r>
            <w:r>
              <w:rPr>
                <w:rFonts w:ascii="Times New Roman" w:hAnsi="Times New Roman"/>
                <w:sz w:val="24"/>
                <w:szCs w:val="24"/>
              </w:rPr>
              <w:t>ментальных наборов для транспедикулярной и переднебоковой и крючковой фиксации позвоночника. Совместимы с МРТ и КТ исследованиями.</w:t>
            </w:r>
          </w:p>
          <w:p w:rsidR="003D6FA0" w:rsidRDefault="00042696">
            <w:pPr>
              <w:jc w:val="center"/>
            </w:pPr>
            <w:r>
              <w:rPr>
                <w:rFonts w:ascii="Times New Roman" w:hAnsi="Times New Roman"/>
                <w:sz w:val="24"/>
                <w:szCs w:val="24"/>
              </w:rPr>
              <w:t>Стержень титановый XIA (для задней транспедикулярной фиксации) 1 шт:Изготовлены из материала – чистый титан градация IV, амер</w:t>
            </w:r>
            <w:r>
              <w:rPr>
                <w:rFonts w:ascii="Times New Roman" w:hAnsi="Times New Roman"/>
                <w:sz w:val="24"/>
                <w:szCs w:val="24"/>
              </w:rPr>
              <w:t xml:space="preserve">иканский стандарт ASTM F67, немецкий стандарт DIN 17850, ISO  5832-2. Гладкий стержень для жесткой фиксации, круглого сечения, с возможностью придания необходимого изгиба  и тримминга специальными кусачками. Диаметр титановых стержней 6 мм. Длина стержней </w:t>
            </w:r>
            <w:r>
              <w:rPr>
                <w:rFonts w:ascii="Times New Roman" w:hAnsi="Times New Roman"/>
                <w:sz w:val="24"/>
                <w:szCs w:val="24"/>
              </w:rPr>
              <w:t xml:space="preserve">480 мм. Возможность укорочения стержней во время операции. Имеется литерная маркировка производителя. Материал возможно многократно подвергать стерилизации. Совместимость инструментальных наборов для транспедикулярной и переднебоковой и крючковой фиксации </w:t>
            </w:r>
            <w:r>
              <w:rPr>
                <w:rFonts w:ascii="Times New Roman" w:hAnsi="Times New Roman"/>
                <w:sz w:val="24"/>
                <w:szCs w:val="24"/>
              </w:rPr>
              <w:t>позвоночника. Совместимы с МРТ и КТ исследованиями.</w:t>
            </w:r>
          </w:p>
          <w:p w:rsidR="003D6FA0" w:rsidRDefault="00042696">
            <w:pPr>
              <w:jc w:val="center"/>
            </w:pPr>
            <w:r>
              <w:rPr>
                <w:rFonts w:ascii="Times New Roman" w:hAnsi="Times New Roman"/>
                <w:sz w:val="24"/>
                <w:szCs w:val="24"/>
              </w:rPr>
              <w:t>Коннектор мультиаксиальный MAC (поперечный мультиаксиальный для проведения задней транспедикулярной фиксации позвоночника) 1 шт.: Изготовлены из материала – титановый сплав Ti-6Al-4V градация V американск</w:t>
            </w:r>
            <w:r>
              <w:rPr>
                <w:rFonts w:ascii="Times New Roman" w:hAnsi="Times New Roman"/>
                <w:sz w:val="24"/>
                <w:szCs w:val="24"/>
              </w:rPr>
              <w:t>ий стандарт ASTM F136, немецкий стандарт DIN 17850, ISO  5832-3. Мультиаксиальные поперечные коннекторы для дополнительной стабилизации конструкций.  Длина поперечных мультиаксиальных коннекторов для конструкций – 38-43, 42-51, 50-67 мм. Два встроенных бло</w:t>
            </w:r>
            <w:r>
              <w:rPr>
                <w:rFonts w:ascii="Times New Roman" w:hAnsi="Times New Roman"/>
                <w:sz w:val="24"/>
                <w:szCs w:val="24"/>
              </w:rPr>
              <w:t>кирующих винта в коннектор с двух сторон для фиксации на стержни и подходит под гексагональную отвертку диаметром 3,5 мм, а так же один центральный винт под гексагональную отвертку диаметром 8,0 мм Имеется литерная маркировка производителя. Материал возмож</w:t>
            </w:r>
            <w:r>
              <w:rPr>
                <w:rFonts w:ascii="Times New Roman" w:hAnsi="Times New Roman"/>
                <w:sz w:val="24"/>
                <w:szCs w:val="24"/>
              </w:rPr>
              <w:t>но многократно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набор</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lastRenderedPageBreak/>
              <w:t>15</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 xml:space="preserve">Фреза  взрослая (фреза для 5400-10-59 и </w:t>
            </w:r>
            <w:r>
              <w:rPr>
                <w:rFonts w:ascii="Times New Roman" w:hAnsi="Times New Roman"/>
                <w:sz w:val="24"/>
                <w:szCs w:val="24"/>
              </w:rPr>
              <w:t>5400-10-259)</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Фреза прямая, взрослая, длина рабочей части 16мм, диаметр 1,7 мм.</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16</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Фреза-перфоратор 14 мм для краниотома, одноразовый</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 xml:space="preserve">Одноразовый перфоратор для краниотомии состоит из трех основных частей: рабочей части, предназначенной для </w:t>
            </w:r>
            <w:r>
              <w:rPr>
                <w:rFonts w:ascii="Times New Roman" w:hAnsi="Times New Roman"/>
                <w:sz w:val="24"/>
                <w:szCs w:val="24"/>
              </w:rPr>
              <w:t>проделывания фрезевых отверстий, ссцепляющего механизма, предвращающего попадание перфоратора в полость черепа и травмирование мягких тканей, индикатора стерилизации и замка типа "Хадсон". диаметр 14мм, продается в серильной одноразовой упаковке.</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lastRenderedPageBreak/>
              <w:t>17</w:t>
            </w:r>
          </w:p>
        </w:tc>
        <w:tc>
          <w:tcPr>
            <w:tcW w:w="253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Протез межпозвоночного диска для шейного отдела позвоночника</w:t>
            </w:r>
          </w:p>
        </w:tc>
        <w:tc>
          <w:tcPr>
            <w:tcW w:w="331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Функциональный протез диска шейного отдела позвоночника на уровнях С3-Th1.</w:t>
            </w:r>
          </w:p>
          <w:p w:rsidR="003D6FA0" w:rsidRDefault="00042696">
            <w:pPr>
              <w:jc w:val="center"/>
            </w:pPr>
            <w:r>
              <w:rPr>
                <w:rFonts w:ascii="Times New Roman" w:hAnsi="Times New Roman"/>
                <w:sz w:val="24"/>
                <w:szCs w:val="24"/>
              </w:rPr>
              <w:t>Общие требования.</w:t>
            </w:r>
          </w:p>
          <w:p w:rsidR="003D6FA0" w:rsidRDefault="00042696">
            <w:pPr>
              <w:jc w:val="center"/>
            </w:pPr>
            <w:r>
              <w:rPr>
                <w:rFonts w:ascii="Times New Roman" w:hAnsi="Times New Roman"/>
                <w:sz w:val="24"/>
                <w:szCs w:val="24"/>
              </w:rPr>
              <w:t xml:space="preserve">Система должна обеспечивать высоту межпозвонкового пространства шейного отдела позвоночника на </w:t>
            </w:r>
            <w:r>
              <w:rPr>
                <w:rFonts w:ascii="Times New Roman" w:hAnsi="Times New Roman"/>
                <w:sz w:val="24"/>
                <w:szCs w:val="24"/>
              </w:rPr>
              <w:t>уровнях C3-Th1</w:t>
            </w:r>
          </w:p>
          <w:p w:rsidR="003D6FA0" w:rsidRDefault="00042696">
            <w:pPr>
              <w:jc w:val="center"/>
            </w:pPr>
            <w:r>
              <w:rPr>
                <w:rFonts w:ascii="Times New Roman" w:hAnsi="Times New Roman"/>
                <w:sz w:val="24"/>
                <w:szCs w:val="24"/>
              </w:rPr>
              <w:t>Система должна восстанавливать высоту межпозвонкового пространства</w:t>
            </w:r>
          </w:p>
          <w:p w:rsidR="003D6FA0" w:rsidRDefault="00042696">
            <w:pPr>
              <w:jc w:val="center"/>
            </w:pPr>
            <w:r>
              <w:rPr>
                <w:rFonts w:ascii="Times New Roman" w:hAnsi="Times New Roman"/>
                <w:sz w:val="24"/>
                <w:szCs w:val="24"/>
              </w:rPr>
              <w:t>Система должна обеспечивать сохранение концевых пластинок тел позвонков</w:t>
            </w:r>
          </w:p>
          <w:p w:rsidR="003D6FA0" w:rsidRDefault="00042696">
            <w:pPr>
              <w:jc w:val="center"/>
            </w:pPr>
            <w:r>
              <w:rPr>
                <w:rFonts w:ascii="Times New Roman" w:hAnsi="Times New Roman"/>
                <w:sz w:val="24"/>
                <w:szCs w:val="24"/>
              </w:rPr>
              <w:t>Система должна быть функциональной, сохранять полную подвижность в сегменте</w:t>
            </w:r>
          </w:p>
          <w:p w:rsidR="003D6FA0" w:rsidRDefault="00042696">
            <w:pPr>
              <w:jc w:val="center"/>
            </w:pPr>
            <w:r>
              <w:rPr>
                <w:rFonts w:ascii="Times New Roman" w:hAnsi="Times New Roman"/>
                <w:sz w:val="24"/>
                <w:szCs w:val="24"/>
              </w:rPr>
              <w:t xml:space="preserve">Система должна иметь два </w:t>
            </w:r>
            <w:r>
              <w:rPr>
                <w:rFonts w:ascii="Times New Roman" w:hAnsi="Times New Roman"/>
                <w:sz w:val="24"/>
                <w:szCs w:val="24"/>
              </w:rPr>
              <w:t>киля для стабильной фиксации</w:t>
            </w:r>
          </w:p>
          <w:p w:rsidR="003D6FA0" w:rsidRDefault="00042696">
            <w:pPr>
              <w:jc w:val="center"/>
            </w:pPr>
            <w:r>
              <w:rPr>
                <w:rFonts w:ascii="Times New Roman" w:hAnsi="Times New Roman"/>
                <w:sz w:val="24"/>
                <w:szCs w:val="24"/>
              </w:rPr>
              <w:t>Система должна состоять из двух пластин выполненных из Титана, ядра имеющего сферическую форму из поликарбонатуретана, волокон из полиэтилена  ультравысокого молекулярного веса (UHMWPE) и полиуретановой оболочки ядра.</w:t>
            </w:r>
          </w:p>
          <w:p w:rsidR="003D6FA0" w:rsidRDefault="00042696">
            <w:pPr>
              <w:jc w:val="center"/>
            </w:pPr>
            <w:r>
              <w:rPr>
                <w:rFonts w:ascii="Times New Roman" w:hAnsi="Times New Roman"/>
                <w:sz w:val="24"/>
                <w:szCs w:val="24"/>
              </w:rPr>
              <w:t>Внешние п</w:t>
            </w:r>
            <w:r>
              <w:rPr>
                <w:rFonts w:ascii="Times New Roman" w:hAnsi="Times New Roman"/>
                <w:sz w:val="24"/>
                <w:szCs w:val="24"/>
              </w:rPr>
              <w:t>оверхности опорных пластин системы должны быть шероховатыми и иметь Титан плазменное напыление (TPS).</w:t>
            </w:r>
          </w:p>
          <w:p w:rsidR="003D6FA0" w:rsidRDefault="00042696">
            <w:pPr>
              <w:jc w:val="center"/>
            </w:pPr>
            <w:r>
              <w:rPr>
                <w:rFonts w:ascii="Times New Roman" w:hAnsi="Times New Roman"/>
                <w:sz w:val="24"/>
                <w:szCs w:val="24"/>
              </w:rPr>
              <w:t>Должен иметь шесть степеней свободы с заданной физиологической аплитудой</w:t>
            </w:r>
          </w:p>
          <w:p w:rsidR="003D6FA0" w:rsidRDefault="00042696">
            <w:pPr>
              <w:jc w:val="center"/>
            </w:pPr>
            <w:r>
              <w:rPr>
                <w:rFonts w:ascii="Times New Roman" w:hAnsi="Times New Roman"/>
                <w:sz w:val="24"/>
                <w:szCs w:val="24"/>
              </w:rPr>
              <w:t>Требования к функциональным протезам.</w:t>
            </w:r>
          </w:p>
          <w:p w:rsidR="003D6FA0" w:rsidRDefault="00042696">
            <w:pPr>
              <w:jc w:val="center"/>
            </w:pPr>
            <w:r>
              <w:rPr>
                <w:rFonts w:ascii="Times New Roman" w:hAnsi="Times New Roman"/>
                <w:sz w:val="24"/>
                <w:szCs w:val="24"/>
              </w:rPr>
              <w:t>Два типа размера М, L</w:t>
            </w:r>
          </w:p>
          <w:p w:rsidR="003D6FA0" w:rsidRDefault="00042696">
            <w:pPr>
              <w:jc w:val="center"/>
            </w:pPr>
            <w:r>
              <w:rPr>
                <w:rFonts w:ascii="Times New Roman" w:hAnsi="Times New Roman"/>
                <w:sz w:val="24"/>
                <w:szCs w:val="24"/>
              </w:rPr>
              <w:t>Каждый функциональный</w:t>
            </w:r>
            <w:r>
              <w:rPr>
                <w:rFonts w:ascii="Times New Roman" w:hAnsi="Times New Roman"/>
                <w:sz w:val="24"/>
                <w:szCs w:val="24"/>
              </w:rPr>
              <w:t xml:space="preserve"> протез должен иметь:</w:t>
            </w:r>
          </w:p>
          <w:p w:rsidR="003D6FA0" w:rsidRDefault="00042696">
            <w:pPr>
              <w:jc w:val="center"/>
            </w:pPr>
            <w:r>
              <w:rPr>
                <w:rFonts w:ascii="Times New Roman" w:hAnsi="Times New Roman"/>
                <w:sz w:val="24"/>
                <w:szCs w:val="24"/>
              </w:rPr>
              <w:t>Диапазон высоты 6.0, 7.0 мм.</w:t>
            </w:r>
          </w:p>
          <w:p w:rsidR="003D6FA0" w:rsidRDefault="00042696">
            <w:pPr>
              <w:jc w:val="center"/>
            </w:pPr>
            <w:r>
              <w:rPr>
                <w:rFonts w:ascii="Times New Roman" w:hAnsi="Times New Roman"/>
                <w:sz w:val="24"/>
                <w:szCs w:val="24"/>
              </w:rPr>
              <w:t>Диапазон ширины 15.0, 17.0 мм.</w:t>
            </w:r>
          </w:p>
          <w:p w:rsidR="003D6FA0" w:rsidRDefault="00042696">
            <w:pPr>
              <w:jc w:val="center"/>
            </w:pPr>
            <w:r>
              <w:rPr>
                <w:rFonts w:ascii="Times New Roman" w:hAnsi="Times New Roman"/>
                <w:sz w:val="24"/>
                <w:szCs w:val="24"/>
              </w:rPr>
              <w:t>Диапазон глубины 12.5, 14.0, 15.0, 16.0 мм.</w:t>
            </w:r>
          </w:p>
          <w:p w:rsidR="003D6FA0" w:rsidRDefault="00042696">
            <w:pPr>
              <w:jc w:val="center"/>
            </w:pPr>
            <w:r>
              <w:rPr>
                <w:rFonts w:ascii="Times New Roman" w:hAnsi="Times New Roman"/>
                <w:sz w:val="24"/>
                <w:szCs w:val="24"/>
              </w:rPr>
              <w:t>Должен иметь 4 отверстия для держателя позволяющие установку передним доступом.</w:t>
            </w:r>
          </w:p>
          <w:p w:rsidR="003D6FA0" w:rsidRDefault="00042696">
            <w:pPr>
              <w:jc w:val="center"/>
            </w:pPr>
            <w:r>
              <w:rPr>
                <w:rFonts w:ascii="Times New Roman" w:hAnsi="Times New Roman"/>
                <w:sz w:val="24"/>
                <w:szCs w:val="24"/>
              </w:rPr>
              <w:t>Поверхность должна иметь шероховатое титан плазмен</w:t>
            </w:r>
            <w:r>
              <w:rPr>
                <w:rFonts w:ascii="Times New Roman" w:hAnsi="Times New Roman"/>
                <w:sz w:val="24"/>
                <w:szCs w:val="24"/>
              </w:rPr>
              <w:t>ное напыление</w:t>
            </w:r>
          </w:p>
          <w:p w:rsidR="003D6FA0" w:rsidRDefault="00042696">
            <w:pPr>
              <w:jc w:val="center"/>
            </w:pPr>
            <w:r>
              <w:rPr>
                <w:rFonts w:ascii="Times New Roman" w:hAnsi="Times New Roman"/>
                <w:sz w:val="24"/>
                <w:szCs w:val="24"/>
              </w:rPr>
              <w:t>Должен иметь два киля для стабильной фиксации в теле позвонков. Высота килей должна быть не хуже 1,7 мм.</w:t>
            </w:r>
          </w:p>
          <w:p w:rsidR="003D6FA0" w:rsidRDefault="00042696">
            <w:pPr>
              <w:jc w:val="center"/>
            </w:pPr>
            <w:r>
              <w:rPr>
                <w:rFonts w:ascii="Times New Roman" w:hAnsi="Times New Roman"/>
                <w:sz w:val="24"/>
                <w:szCs w:val="24"/>
              </w:rPr>
              <w:t>должен быть функциональным</w:t>
            </w:r>
          </w:p>
          <w:p w:rsidR="003D6FA0" w:rsidRDefault="00042696">
            <w:pPr>
              <w:jc w:val="center"/>
            </w:pPr>
            <w:r>
              <w:rPr>
                <w:rFonts w:ascii="Times New Roman" w:hAnsi="Times New Roman"/>
                <w:sz w:val="24"/>
                <w:szCs w:val="24"/>
              </w:rPr>
              <w:t>должен быть в стерильной упаковке</w:t>
            </w:r>
          </w:p>
          <w:p w:rsidR="003D6FA0" w:rsidRDefault="00042696">
            <w:pPr>
              <w:jc w:val="center"/>
            </w:pPr>
            <w:r>
              <w:rPr>
                <w:rFonts w:ascii="Times New Roman" w:hAnsi="Times New Roman"/>
                <w:sz w:val="24"/>
                <w:szCs w:val="24"/>
              </w:rPr>
              <w:t>Требования к инструменту:</w:t>
            </w:r>
          </w:p>
          <w:p w:rsidR="003D6FA0" w:rsidRDefault="00042696">
            <w:pPr>
              <w:jc w:val="center"/>
            </w:pPr>
            <w:r>
              <w:rPr>
                <w:rFonts w:ascii="Times New Roman" w:hAnsi="Times New Roman"/>
                <w:sz w:val="24"/>
                <w:szCs w:val="24"/>
              </w:rPr>
              <w:t xml:space="preserve">Для установки протеза предоставляется специальные </w:t>
            </w:r>
            <w:r>
              <w:rPr>
                <w:rFonts w:ascii="Times New Roman" w:hAnsi="Times New Roman"/>
                <w:sz w:val="24"/>
                <w:szCs w:val="24"/>
              </w:rPr>
              <w:t>монтажные инструменты, упакованные в единый контейнер для автоклавируемой стерилизации.</w:t>
            </w:r>
          </w:p>
        </w:tc>
        <w:tc>
          <w:tcPr>
            <w:tcW w:w="112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D6FA0" w:rsidRDefault="00042696">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2100" w:type="dxa"/>
            <w:tcBorders>
              <w:top w:val="single" w:sz="5" w:space="0" w:color="auto"/>
              <w:bottom w:val="single" w:sz="5" w:space="0" w:color="auto"/>
              <w:right w:val="single" w:sz="5" w:space="0" w:color="auto"/>
            </w:tcBorders>
            <w:shd w:val="clear" w:color="auto" w:fill="auto"/>
          </w:tcPr>
          <w:p w:rsidR="003D6FA0" w:rsidRDefault="003D6FA0">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D6FA0" w:rsidRDefault="003D6FA0"/>
        </w:tc>
      </w:tr>
      <w:tr w:rsidR="003D6FA0">
        <w:tblPrEx>
          <w:tblCellMar>
            <w:top w:w="0" w:type="dxa"/>
            <w:bottom w:w="0" w:type="dxa"/>
          </w:tblCellMar>
        </w:tblPrEx>
        <w:trPr>
          <w:cantSplit/>
          <w:trHeight w:val="375"/>
        </w:trPr>
        <w:tc>
          <w:tcPr>
            <w:tcW w:w="945" w:type="dxa"/>
            <w:shd w:val="clear" w:color="auto" w:fill="auto"/>
            <w:vAlign w:val="bottom"/>
          </w:tcPr>
          <w:p w:rsidR="003D6FA0" w:rsidRDefault="003D6FA0"/>
        </w:tc>
        <w:tc>
          <w:tcPr>
            <w:tcW w:w="2535" w:type="dxa"/>
            <w:shd w:val="clear" w:color="auto" w:fill="auto"/>
            <w:vAlign w:val="bottom"/>
          </w:tcPr>
          <w:p w:rsidR="003D6FA0" w:rsidRDefault="003D6FA0"/>
        </w:tc>
        <w:tc>
          <w:tcPr>
            <w:tcW w:w="3315" w:type="dxa"/>
            <w:shd w:val="clear" w:color="auto" w:fill="auto"/>
            <w:vAlign w:val="bottom"/>
          </w:tcPr>
          <w:p w:rsidR="003D6FA0" w:rsidRDefault="003D6FA0"/>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18315" w:type="dxa"/>
            <w:gridSpan w:val="10"/>
            <w:shd w:val="clear" w:color="auto" w:fill="auto"/>
            <w:vAlign w:val="bottom"/>
          </w:tcPr>
          <w:p w:rsidR="003D6FA0" w:rsidRDefault="00042696">
            <w:r>
              <w:rPr>
                <w:rFonts w:ascii="Times New Roman" w:hAnsi="Times New Roman"/>
                <w:sz w:val="28"/>
                <w:szCs w:val="28"/>
              </w:rPr>
              <w:t xml:space="preserve">       Срок поставки: в течение 5-14 календарных дней с момента подписания контракта/получения заявки на поставку..</w:t>
            </w:r>
          </w:p>
        </w:tc>
      </w:tr>
      <w:tr w:rsidR="003D6FA0">
        <w:tblPrEx>
          <w:tblCellMar>
            <w:top w:w="0" w:type="dxa"/>
            <w:bottom w:w="0" w:type="dxa"/>
          </w:tblCellMar>
        </w:tblPrEx>
        <w:trPr>
          <w:cantSplit/>
          <w:trHeight w:val="120"/>
        </w:trPr>
        <w:tc>
          <w:tcPr>
            <w:tcW w:w="945" w:type="dxa"/>
            <w:shd w:val="clear" w:color="auto" w:fill="auto"/>
            <w:vAlign w:val="bottom"/>
          </w:tcPr>
          <w:p w:rsidR="003D6FA0" w:rsidRDefault="003D6FA0"/>
        </w:tc>
        <w:tc>
          <w:tcPr>
            <w:tcW w:w="2535" w:type="dxa"/>
            <w:shd w:val="clear" w:color="auto" w:fill="auto"/>
            <w:vAlign w:val="bottom"/>
          </w:tcPr>
          <w:p w:rsidR="003D6FA0" w:rsidRDefault="003D6FA0"/>
        </w:tc>
        <w:tc>
          <w:tcPr>
            <w:tcW w:w="3315" w:type="dxa"/>
            <w:shd w:val="clear" w:color="auto" w:fill="auto"/>
            <w:vAlign w:val="bottom"/>
          </w:tcPr>
          <w:p w:rsidR="003D6FA0" w:rsidRDefault="003D6FA0"/>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18315" w:type="dxa"/>
            <w:gridSpan w:val="10"/>
            <w:shd w:val="clear" w:color="auto" w:fill="auto"/>
            <w:vAlign w:val="bottom"/>
          </w:tcPr>
          <w:p w:rsidR="003D6FA0" w:rsidRDefault="00042696">
            <w:pPr>
              <w:jc w:val="both"/>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rsidR="003D6FA0">
        <w:tblPrEx>
          <w:tblCellMar>
            <w:top w:w="0" w:type="dxa"/>
            <w:bottom w:w="0" w:type="dxa"/>
          </w:tblCellMar>
        </w:tblPrEx>
        <w:trPr>
          <w:cantSplit/>
          <w:trHeight w:val="120"/>
        </w:trPr>
        <w:tc>
          <w:tcPr>
            <w:tcW w:w="945" w:type="dxa"/>
            <w:shd w:val="clear" w:color="auto" w:fill="auto"/>
            <w:vAlign w:val="bottom"/>
          </w:tcPr>
          <w:p w:rsidR="003D6FA0" w:rsidRDefault="003D6FA0"/>
        </w:tc>
        <w:tc>
          <w:tcPr>
            <w:tcW w:w="2535" w:type="dxa"/>
            <w:shd w:val="clear" w:color="auto" w:fill="auto"/>
            <w:vAlign w:val="bottom"/>
          </w:tcPr>
          <w:p w:rsidR="003D6FA0" w:rsidRDefault="003D6FA0"/>
        </w:tc>
        <w:tc>
          <w:tcPr>
            <w:tcW w:w="3315" w:type="dxa"/>
            <w:shd w:val="clear" w:color="auto" w:fill="auto"/>
            <w:vAlign w:val="bottom"/>
          </w:tcPr>
          <w:p w:rsidR="003D6FA0" w:rsidRDefault="003D6FA0"/>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18315" w:type="dxa"/>
            <w:gridSpan w:val="10"/>
            <w:shd w:val="clear" w:color="auto" w:fill="auto"/>
            <w:vAlign w:val="bottom"/>
          </w:tcPr>
          <w:p w:rsidR="003D6FA0" w:rsidRDefault="00042696">
            <w:pPr>
              <w:jc w:val="both"/>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 226-99-91.</w:t>
            </w:r>
          </w:p>
        </w:tc>
      </w:tr>
      <w:tr w:rsidR="003D6FA0">
        <w:tblPrEx>
          <w:tblCellMar>
            <w:top w:w="0" w:type="dxa"/>
            <w:bottom w:w="0" w:type="dxa"/>
          </w:tblCellMar>
        </w:tblPrEx>
        <w:trPr>
          <w:cantSplit/>
          <w:trHeight w:val="165"/>
        </w:trPr>
        <w:tc>
          <w:tcPr>
            <w:tcW w:w="945" w:type="dxa"/>
            <w:shd w:val="clear" w:color="auto" w:fill="auto"/>
            <w:vAlign w:val="bottom"/>
          </w:tcPr>
          <w:p w:rsidR="003D6FA0" w:rsidRDefault="003D6FA0"/>
        </w:tc>
        <w:tc>
          <w:tcPr>
            <w:tcW w:w="2535" w:type="dxa"/>
            <w:shd w:val="clear" w:color="auto" w:fill="auto"/>
            <w:vAlign w:val="bottom"/>
          </w:tcPr>
          <w:p w:rsidR="003D6FA0" w:rsidRDefault="003D6FA0"/>
        </w:tc>
        <w:tc>
          <w:tcPr>
            <w:tcW w:w="3315" w:type="dxa"/>
            <w:shd w:val="clear" w:color="auto" w:fill="auto"/>
            <w:vAlign w:val="bottom"/>
          </w:tcPr>
          <w:p w:rsidR="003D6FA0" w:rsidRDefault="003D6FA0"/>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18315" w:type="dxa"/>
            <w:gridSpan w:val="10"/>
            <w:shd w:val="clear" w:color="auto" w:fill="auto"/>
            <w:vAlign w:val="bottom"/>
          </w:tcPr>
          <w:p w:rsidR="003D6FA0" w:rsidRDefault="00042696">
            <w:r>
              <w:rPr>
                <w:rFonts w:ascii="Times New Roman" w:hAnsi="Times New Roman"/>
                <w:sz w:val="28"/>
                <w:szCs w:val="28"/>
              </w:rPr>
              <w:t xml:space="preserve">       Предложения принимаются в срок до 30.05.2023 17:00:00 по местному времени. </w:t>
            </w:r>
          </w:p>
        </w:tc>
      </w:tr>
      <w:tr w:rsidR="003D6FA0">
        <w:tblPrEx>
          <w:tblCellMar>
            <w:top w:w="0" w:type="dxa"/>
            <w:bottom w:w="0" w:type="dxa"/>
          </w:tblCellMar>
        </w:tblPrEx>
        <w:trPr>
          <w:cantSplit/>
        </w:trPr>
        <w:tc>
          <w:tcPr>
            <w:tcW w:w="945" w:type="dxa"/>
            <w:shd w:val="clear" w:color="auto" w:fill="auto"/>
            <w:vAlign w:val="bottom"/>
          </w:tcPr>
          <w:p w:rsidR="003D6FA0" w:rsidRDefault="003D6FA0"/>
        </w:tc>
        <w:tc>
          <w:tcPr>
            <w:tcW w:w="2535" w:type="dxa"/>
            <w:shd w:val="clear" w:color="auto" w:fill="auto"/>
            <w:vAlign w:val="bottom"/>
          </w:tcPr>
          <w:p w:rsidR="003D6FA0" w:rsidRDefault="003D6FA0"/>
        </w:tc>
        <w:tc>
          <w:tcPr>
            <w:tcW w:w="3315" w:type="dxa"/>
            <w:shd w:val="clear" w:color="auto" w:fill="auto"/>
            <w:vAlign w:val="bottom"/>
          </w:tcPr>
          <w:p w:rsidR="003D6FA0" w:rsidRDefault="003D6FA0"/>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18315" w:type="dxa"/>
            <w:gridSpan w:val="10"/>
            <w:shd w:val="clear" w:color="auto" w:fill="auto"/>
            <w:vAlign w:val="bottom"/>
          </w:tcPr>
          <w:p w:rsidR="003D6FA0" w:rsidRDefault="00042696">
            <w:r>
              <w:rPr>
                <w:rFonts w:ascii="Times New Roman" w:hAnsi="Times New Roman"/>
                <w:sz w:val="28"/>
                <w:szCs w:val="28"/>
              </w:rPr>
              <w:t>Руководитель контрактной службы________________________/Алешечкина Е.А./</w:t>
            </w:r>
          </w:p>
        </w:tc>
      </w:tr>
      <w:tr w:rsidR="003D6FA0">
        <w:tblPrEx>
          <w:tblCellMar>
            <w:top w:w="0" w:type="dxa"/>
            <w:bottom w:w="0" w:type="dxa"/>
          </w:tblCellMar>
        </w:tblPrEx>
        <w:trPr>
          <w:cantSplit/>
        </w:trPr>
        <w:tc>
          <w:tcPr>
            <w:tcW w:w="945" w:type="dxa"/>
            <w:shd w:val="clear" w:color="auto" w:fill="auto"/>
            <w:vAlign w:val="bottom"/>
          </w:tcPr>
          <w:p w:rsidR="003D6FA0" w:rsidRDefault="003D6FA0"/>
        </w:tc>
        <w:tc>
          <w:tcPr>
            <w:tcW w:w="2535" w:type="dxa"/>
            <w:shd w:val="clear" w:color="auto" w:fill="auto"/>
            <w:vAlign w:val="bottom"/>
          </w:tcPr>
          <w:p w:rsidR="003D6FA0" w:rsidRDefault="003D6FA0"/>
        </w:tc>
        <w:tc>
          <w:tcPr>
            <w:tcW w:w="3315" w:type="dxa"/>
            <w:shd w:val="clear" w:color="auto" w:fill="auto"/>
            <w:vAlign w:val="bottom"/>
          </w:tcPr>
          <w:p w:rsidR="003D6FA0" w:rsidRDefault="003D6FA0"/>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945" w:type="dxa"/>
            <w:shd w:val="clear" w:color="auto" w:fill="auto"/>
            <w:vAlign w:val="bottom"/>
          </w:tcPr>
          <w:p w:rsidR="003D6FA0" w:rsidRDefault="003D6FA0"/>
        </w:tc>
        <w:tc>
          <w:tcPr>
            <w:tcW w:w="2535" w:type="dxa"/>
            <w:shd w:val="clear" w:color="auto" w:fill="auto"/>
            <w:vAlign w:val="bottom"/>
          </w:tcPr>
          <w:p w:rsidR="003D6FA0" w:rsidRDefault="003D6FA0"/>
        </w:tc>
        <w:tc>
          <w:tcPr>
            <w:tcW w:w="3315" w:type="dxa"/>
            <w:shd w:val="clear" w:color="auto" w:fill="auto"/>
            <w:vAlign w:val="bottom"/>
          </w:tcPr>
          <w:p w:rsidR="003D6FA0" w:rsidRDefault="003D6FA0"/>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945" w:type="dxa"/>
            <w:shd w:val="clear" w:color="auto" w:fill="auto"/>
            <w:vAlign w:val="bottom"/>
          </w:tcPr>
          <w:p w:rsidR="003D6FA0" w:rsidRDefault="003D6FA0"/>
        </w:tc>
        <w:tc>
          <w:tcPr>
            <w:tcW w:w="2535" w:type="dxa"/>
            <w:shd w:val="clear" w:color="auto" w:fill="auto"/>
            <w:vAlign w:val="bottom"/>
          </w:tcPr>
          <w:p w:rsidR="003D6FA0" w:rsidRDefault="003D6FA0"/>
        </w:tc>
        <w:tc>
          <w:tcPr>
            <w:tcW w:w="3315" w:type="dxa"/>
            <w:shd w:val="clear" w:color="auto" w:fill="auto"/>
            <w:vAlign w:val="bottom"/>
          </w:tcPr>
          <w:p w:rsidR="003D6FA0" w:rsidRDefault="003D6FA0"/>
        </w:tc>
        <w:tc>
          <w:tcPr>
            <w:tcW w:w="1125" w:type="dxa"/>
            <w:shd w:val="clear" w:color="auto" w:fill="auto"/>
            <w:vAlign w:val="bottom"/>
          </w:tcPr>
          <w:p w:rsidR="003D6FA0" w:rsidRDefault="003D6FA0"/>
        </w:tc>
        <w:tc>
          <w:tcPr>
            <w:tcW w:w="1275" w:type="dxa"/>
            <w:shd w:val="clear" w:color="auto" w:fill="auto"/>
            <w:vAlign w:val="bottom"/>
          </w:tcPr>
          <w:p w:rsidR="003D6FA0" w:rsidRDefault="003D6FA0"/>
        </w:tc>
        <w:tc>
          <w:tcPr>
            <w:tcW w:w="1470" w:type="dxa"/>
            <w:shd w:val="clear" w:color="auto" w:fill="auto"/>
            <w:vAlign w:val="bottom"/>
          </w:tcPr>
          <w:p w:rsidR="003D6FA0" w:rsidRDefault="003D6FA0"/>
        </w:tc>
        <w:tc>
          <w:tcPr>
            <w:tcW w:w="2100" w:type="dxa"/>
            <w:shd w:val="clear" w:color="auto" w:fill="auto"/>
            <w:vAlign w:val="bottom"/>
          </w:tcPr>
          <w:p w:rsidR="003D6FA0" w:rsidRDefault="003D6FA0"/>
        </w:tc>
        <w:tc>
          <w:tcPr>
            <w:tcW w:w="1995" w:type="dxa"/>
            <w:shd w:val="clear" w:color="auto" w:fill="auto"/>
            <w:vAlign w:val="bottom"/>
          </w:tcPr>
          <w:p w:rsidR="003D6FA0" w:rsidRDefault="003D6FA0"/>
        </w:tc>
        <w:tc>
          <w:tcPr>
            <w:tcW w:w="1650" w:type="dxa"/>
            <w:shd w:val="clear" w:color="auto" w:fill="auto"/>
            <w:vAlign w:val="bottom"/>
          </w:tcPr>
          <w:p w:rsidR="003D6FA0" w:rsidRDefault="003D6FA0"/>
        </w:tc>
        <w:tc>
          <w:tcPr>
            <w:tcW w:w="1905" w:type="dxa"/>
            <w:shd w:val="clear" w:color="auto" w:fill="auto"/>
            <w:vAlign w:val="bottom"/>
          </w:tcPr>
          <w:p w:rsidR="003D6FA0" w:rsidRDefault="003D6FA0"/>
        </w:tc>
      </w:tr>
      <w:tr w:rsidR="003D6FA0">
        <w:tblPrEx>
          <w:tblCellMar>
            <w:top w:w="0" w:type="dxa"/>
            <w:bottom w:w="0" w:type="dxa"/>
          </w:tblCellMar>
        </w:tblPrEx>
        <w:trPr>
          <w:cantSplit/>
        </w:trPr>
        <w:tc>
          <w:tcPr>
            <w:tcW w:w="18315" w:type="dxa"/>
            <w:gridSpan w:val="10"/>
            <w:shd w:val="clear" w:color="auto" w:fill="auto"/>
            <w:vAlign w:val="bottom"/>
          </w:tcPr>
          <w:p w:rsidR="003D6FA0" w:rsidRDefault="00042696">
            <w:r>
              <w:rPr>
                <w:rFonts w:ascii="Times New Roman" w:hAnsi="Times New Roman"/>
                <w:sz w:val="28"/>
                <w:szCs w:val="28"/>
              </w:rPr>
              <w:t>Исполнитель:</w:t>
            </w:r>
          </w:p>
        </w:tc>
      </w:tr>
      <w:tr w:rsidR="003D6FA0">
        <w:tblPrEx>
          <w:tblCellMar>
            <w:top w:w="0" w:type="dxa"/>
            <w:bottom w:w="0" w:type="dxa"/>
          </w:tblCellMar>
        </w:tblPrEx>
        <w:trPr>
          <w:cantSplit/>
        </w:trPr>
        <w:tc>
          <w:tcPr>
            <w:tcW w:w="18315" w:type="dxa"/>
            <w:gridSpan w:val="10"/>
            <w:shd w:val="clear" w:color="auto" w:fill="auto"/>
            <w:vAlign w:val="bottom"/>
          </w:tcPr>
          <w:p w:rsidR="003D6FA0" w:rsidRDefault="00042696">
            <w:r>
              <w:rPr>
                <w:rFonts w:ascii="Times New Roman" w:hAnsi="Times New Roman"/>
                <w:sz w:val="28"/>
                <w:szCs w:val="28"/>
              </w:rPr>
              <w:t>, тел.</w:t>
            </w:r>
          </w:p>
        </w:tc>
      </w:tr>
    </w:tbl>
    <w:p w:rsidR="00000000" w:rsidRDefault="00042696"/>
    <w:sectPr w:rsidR="00000000">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3D6FA0"/>
    <w:rsid w:val="00042696"/>
    <w:rsid w:val="003D6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6EC9"/>
  <w15:docId w15:val="{842BF702-F4D3-44CE-B906-B4350269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2978</Words>
  <Characters>16979</Characters>
  <Application>Microsoft Office Word</Application>
  <DocSecurity>0</DocSecurity>
  <Lines>141</Lines>
  <Paragraphs>39</Paragraphs>
  <ScaleCrop>false</ScaleCrop>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Тумар Мария Александровна</cp:lastModifiedBy>
  <cp:revision>2</cp:revision>
  <dcterms:created xsi:type="dcterms:W3CDTF">2023-09-12T02:17:00Z</dcterms:created>
  <dcterms:modified xsi:type="dcterms:W3CDTF">2023-09-12T02:17:00Z</dcterms:modified>
</cp:coreProperties>
</file>