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797BBD" w:rsidRDefault="00797BBD"/>
        </w:tc>
        <w:tc>
          <w:tcPr>
            <w:tcW w:w="2745" w:type="dxa"/>
            <w:gridSpan w:val="2"/>
            <w:shd w:val="clear" w:color="auto" w:fill="auto"/>
            <w:vAlign w:val="bottom"/>
          </w:tcPr>
          <w:p w:rsidR="00797BBD" w:rsidRDefault="00C30657">
            <w:pPr>
              <w:jc w:val="center"/>
            </w:pPr>
            <w:r>
              <w:rPr>
                <w:rFonts w:ascii="Times New Roman" w:hAnsi="Times New Roman"/>
                <w:sz w:val="24"/>
                <w:szCs w:val="24"/>
              </w:rPr>
              <w:t>Руководителю</w:t>
            </w:r>
          </w:p>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Телефон: 8 (391) 226-99-97</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Факс: 8 (391) 220-16-23</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rsidRPr="00C30657">
        <w:tblPrEx>
          <w:tblCellMar>
            <w:top w:w="0" w:type="dxa"/>
            <w:bottom w:w="0" w:type="dxa"/>
          </w:tblCellMar>
        </w:tblPrEx>
        <w:trPr>
          <w:cantSplit/>
        </w:trPr>
        <w:tc>
          <w:tcPr>
            <w:tcW w:w="6795" w:type="dxa"/>
            <w:gridSpan w:val="3"/>
            <w:shd w:val="clear" w:color="auto" w:fill="auto"/>
            <w:vAlign w:val="bottom"/>
          </w:tcPr>
          <w:p w:rsidR="00797BBD" w:rsidRPr="00C30657" w:rsidRDefault="00C30657">
            <w:pPr>
              <w:jc w:val="center"/>
              <w:rPr>
                <w:lang w:val="en-US"/>
              </w:rPr>
            </w:pPr>
            <w:r>
              <w:rPr>
                <w:rFonts w:ascii="Times New Roman" w:hAnsi="Times New Roman"/>
                <w:sz w:val="24"/>
                <w:szCs w:val="24"/>
              </w:rPr>
              <w:t>Е</w:t>
            </w:r>
            <w:r w:rsidRPr="00C30657">
              <w:rPr>
                <w:rFonts w:ascii="Times New Roman" w:hAnsi="Times New Roman"/>
                <w:sz w:val="24"/>
                <w:szCs w:val="24"/>
                <w:lang w:val="en-US"/>
              </w:rPr>
              <w:t xml:space="preserve">-mail: kkb@ </w:t>
            </w:r>
            <w:r w:rsidRPr="00C30657">
              <w:rPr>
                <w:rFonts w:ascii="Times New Roman" w:hAnsi="Times New Roman"/>
                <w:sz w:val="24"/>
                <w:szCs w:val="24"/>
                <w:lang w:val="en-US"/>
              </w:rPr>
              <w:t>medqorod. ru</w:t>
            </w:r>
          </w:p>
        </w:tc>
        <w:tc>
          <w:tcPr>
            <w:tcW w:w="1125" w:type="dxa"/>
            <w:shd w:val="clear" w:color="auto" w:fill="auto"/>
            <w:vAlign w:val="bottom"/>
          </w:tcPr>
          <w:p w:rsidR="00797BBD" w:rsidRPr="00C30657" w:rsidRDefault="00797BBD">
            <w:pPr>
              <w:rPr>
                <w:lang w:val="en-US"/>
              </w:rPr>
            </w:pPr>
          </w:p>
        </w:tc>
        <w:tc>
          <w:tcPr>
            <w:tcW w:w="1275" w:type="dxa"/>
            <w:shd w:val="clear" w:color="auto" w:fill="auto"/>
            <w:vAlign w:val="bottom"/>
          </w:tcPr>
          <w:p w:rsidR="00797BBD" w:rsidRPr="00C30657" w:rsidRDefault="00797BBD">
            <w:pPr>
              <w:rPr>
                <w:lang w:val="en-US"/>
              </w:rPr>
            </w:pPr>
          </w:p>
        </w:tc>
        <w:tc>
          <w:tcPr>
            <w:tcW w:w="1470" w:type="dxa"/>
            <w:shd w:val="clear" w:color="auto" w:fill="auto"/>
            <w:vAlign w:val="bottom"/>
          </w:tcPr>
          <w:p w:rsidR="00797BBD" w:rsidRPr="00C30657" w:rsidRDefault="00797BBD">
            <w:pPr>
              <w:rPr>
                <w:lang w:val="en-US"/>
              </w:rPr>
            </w:pPr>
          </w:p>
        </w:tc>
        <w:tc>
          <w:tcPr>
            <w:tcW w:w="2100" w:type="dxa"/>
            <w:shd w:val="clear" w:color="auto" w:fill="auto"/>
            <w:vAlign w:val="bottom"/>
          </w:tcPr>
          <w:p w:rsidR="00797BBD" w:rsidRPr="00C30657" w:rsidRDefault="00797BBD">
            <w:pPr>
              <w:rPr>
                <w:lang w:val="en-US"/>
              </w:rPr>
            </w:pPr>
          </w:p>
        </w:tc>
        <w:tc>
          <w:tcPr>
            <w:tcW w:w="1995" w:type="dxa"/>
            <w:shd w:val="clear" w:color="auto" w:fill="auto"/>
            <w:vAlign w:val="bottom"/>
          </w:tcPr>
          <w:p w:rsidR="00797BBD" w:rsidRPr="00C30657" w:rsidRDefault="00797BBD">
            <w:pPr>
              <w:rPr>
                <w:lang w:val="en-US"/>
              </w:rPr>
            </w:pPr>
          </w:p>
        </w:tc>
        <w:tc>
          <w:tcPr>
            <w:tcW w:w="1650" w:type="dxa"/>
            <w:shd w:val="clear" w:color="auto" w:fill="auto"/>
            <w:vAlign w:val="bottom"/>
          </w:tcPr>
          <w:p w:rsidR="00797BBD" w:rsidRPr="00C30657" w:rsidRDefault="00797BBD">
            <w:pPr>
              <w:rPr>
                <w:lang w:val="en-US"/>
              </w:rPr>
            </w:pPr>
          </w:p>
        </w:tc>
        <w:tc>
          <w:tcPr>
            <w:tcW w:w="1905" w:type="dxa"/>
            <w:shd w:val="clear" w:color="auto" w:fill="auto"/>
            <w:vAlign w:val="bottom"/>
          </w:tcPr>
          <w:p w:rsidR="00797BBD" w:rsidRPr="00C30657" w:rsidRDefault="00797BBD">
            <w:pPr>
              <w:rPr>
                <w:lang w:val="en-US"/>
              </w:rPr>
            </w:pPr>
          </w:p>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Http://www.medgorod.ru</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ОКПО 01913234</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ИНН/КПП 2465030876/246501001</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rsidP="00C30657">
            <w:pPr>
              <w:jc w:val="center"/>
            </w:pPr>
            <w:r>
              <w:rPr>
                <w:rFonts w:ascii="Times New Roman" w:hAnsi="Times New Roman"/>
                <w:sz w:val="24"/>
                <w:szCs w:val="24"/>
              </w:rPr>
              <w:t>12.09.2</w:t>
            </w:r>
            <w:r>
              <w:rPr>
                <w:rFonts w:ascii="Times New Roman" w:hAnsi="Times New Roman"/>
                <w:sz w:val="24"/>
                <w:szCs w:val="24"/>
              </w:rPr>
              <w:t>023 г. №1419-2023</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На №_________ от ________________</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6795" w:type="dxa"/>
            <w:gridSpan w:val="3"/>
            <w:shd w:val="clear" w:color="auto" w:fill="auto"/>
            <w:vAlign w:val="bottom"/>
          </w:tcPr>
          <w:p w:rsidR="00797BBD" w:rsidRDefault="00C30657">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2765" w:type="dxa"/>
            <w:gridSpan w:val="7"/>
            <w:shd w:val="clear" w:color="auto" w:fill="auto"/>
            <w:vAlign w:val="bottom"/>
          </w:tcPr>
          <w:p w:rsidR="00797BBD" w:rsidRDefault="00C30657">
            <w:pPr>
              <w:jc w:val="center"/>
            </w:pPr>
            <w:r>
              <w:rPr>
                <w:rFonts w:ascii="Times New Roman" w:hAnsi="Times New Roman"/>
                <w:b/>
                <w:sz w:val="28"/>
                <w:szCs w:val="28"/>
              </w:rPr>
              <w:t>Уважаемые господа!</w:t>
            </w:r>
          </w:p>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797BBD" w:rsidRDefault="00C30657">
            <w:pPr>
              <w:jc w:val="center"/>
            </w:pPr>
            <w:r>
              <w:rPr>
                <w:rFonts w:ascii="Times New Roman" w:hAnsi="Times New Roman"/>
                <w:b/>
                <w:sz w:val="24"/>
                <w:szCs w:val="24"/>
              </w:rPr>
              <w:t>Код вида МИ</w:t>
            </w:r>
          </w:p>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Воск костный 2,5 г №24</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Нерассасывающийся стерильный хирургический материал, Воск приобретает пластичность, достаточную для использования в живых тканях, при нагревании в руках в течение времени - 1 минуты. Хирургический воск имеет белый цвет</w:t>
            </w:r>
            <w:r>
              <w:rPr>
                <w:rFonts w:ascii="Times New Roman" w:hAnsi="Times New Roman"/>
                <w:sz w:val="24"/>
                <w:szCs w:val="24"/>
              </w:rPr>
              <w:t xml:space="preserve"> и поставляется в твердом виде, индивидуальная упаковка, пластинки  2.5 гр.,   24 штук в упаковке.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26</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2</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Датчик ВЧД интравентрикулярный</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Датчик ВЧД интравентрикулярный, предназначен для измерения ВЧД в желудочках головного мозга с помощью </w:t>
            </w:r>
            <w:r>
              <w:rPr>
                <w:rFonts w:ascii="Times New Roman" w:hAnsi="Times New Roman"/>
                <w:sz w:val="24"/>
                <w:szCs w:val="24"/>
              </w:rPr>
              <w:t>микропневматической системы, представляет собой две независимых гибких трубки, которые в дистальной части соединяются в одну двухпросветную. На дистальном конце одной трубки должен находиться воздушный мешок, а на проксимальном конце - Луер-разъём с фильтр</w:t>
            </w:r>
            <w:r>
              <w:rPr>
                <w:rFonts w:ascii="Times New Roman" w:hAnsi="Times New Roman"/>
                <w:sz w:val="24"/>
                <w:szCs w:val="24"/>
              </w:rPr>
              <w:t>ом для подключения к монитору ВЧД. Вторая трубка служит для дренирования спиномозговой жидкости и должна иметь не менее 4 отверстий на дистальном конце. Материал воздушного мешка - полиуретан. Максимальный объем заполнения воздушного мешка должен быть мене</w:t>
            </w:r>
            <w:r>
              <w:rPr>
                <w:rFonts w:ascii="Times New Roman" w:hAnsi="Times New Roman"/>
                <w:sz w:val="24"/>
                <w:szCs w:val="24"/>
              </w:rPr>
              <w:t>е 0,15 мл. Внутренний диаметр дренажной трубки - не менее 1 мм. Длина двухпросветной части - не менее 130 мм, наружный диаметр не более 2,3 мм. Длина дренажной трубки - не менее 270 мм.  Длина трубки с воздушным мешком - не менее 1500 мм. Двухпросветная ча</w:t>
            </w:r>
            <w:r>
              <w:rPr>
                <w:rFonts w:ascii="Times New Roman" w:hAnsi="Times New Roman"/>
                <w:sz w:val="24"/>
                <w:szCs w:val="24"/>
              </w:rPr>
              <w:t>сть должна иметь не менее 10 рентгенконтрастных меток с интервалом 5 мм указывающих глубину имплантации. Первая рентгенконтрастная метка должна быть расположена на расстоянии не менее 50 мм от дистального конца датчика. Последняя рентгенконтрастная метка д</w:t>
            </w:r>
            <w:r>
              <w:rPr>
                <w:rFonts w:ascii="Times New Roman" w:hAnsi="Times New Roman"/>
                <w:sz w:val="24"/>
                <w:szCs w:val="24"/>
              </w:rPr>
              <w:t>олжна быть расположена на расстоянии не более 100 мм от дистального конца датчика. Максимальная продолжительность использования - не менее 30 дней. Датчик должен иметь возможность измерять ВЧД в паренхиме головного мозга, при отсутствии возможности имплант</w:t>
            </w:r>
            <w:r>
              <w:rPr>
                <w:rFonts w:ascii="Times New Roman" w:hAnsi="Times New Roman"/>
                <w:sz w:val="24"/>
                <w:szCs w:val="24"/>
              </w:rPr>
              <w:t>ации в желудочек. Не должен содержать латекс. Датчик должен быть одноразового применения и поставляться в двойной стерильной упаковке.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3</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Имплантат для закрытия дефектов твердой мозговой оболочки 7,62 х 7,62 см №5</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Имплантат для закрытия </w:t>
            </w:r>
            <w:r>
              <w:rPr>
                <w:rFonts w:ascii="Times New Roman" w:hAnsi="Times New Roman"/>
                <w:sz w:val="24"/>
                <w:szCs w:val="24"/>
              </w:rPr>
              <w:t>дефектов твердой мозговой оболочки головного и  спинного мозга. Используется  в качестве противоспаечного барьера. Не нужно сшивать. Рассасывающийся. Размер 7.62 см х 7.62 см (5 штук в упаковке). Изготовлен на основе бычьего коллагена 1го типа.  Содержание</w:t>
            </w:r>
            <w:r>
              <w:rPr>
                <w:rFonts w:ascii="Times New Roman" w:hAnsi="Times New Roman"/>
                <w:sz w:val="24"/>
                <w:szCs w:val="24"/>
              </w:rPr>
              <w:t xml:space="preserve"> натурального коллагена  80%, неколлагенновые протеины  1%, липиды  1%, влажность 20%, остальное 5%. Уровень pH 2.5 - 3.2. Поставляется  в двойной стерильной упаковке. Простерилизован радиацией.</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4</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Имплантат Lyoplant  для закрытия дефектов </w:t>
            </w:r>
            <w:r>
              <w:rPr>
                <w:rFonts w:ascii="Times New Roman" w:hAnsi="Times New Roman"/>
                <w:sz w:val="24"/>
                <w:szCs w:val="24"/>
              </w:rPr>
              <w:t>твердой мозговой оболочки</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Имплантат для закрытия дефектов твердой мозговой оболочки головного или спинного мозга. Может быть использован в качестве противоспаечного барьера для предотвращения послеоперационного перидурального фиброза. Рассасывающийся, </w:t>
            </w:r>
            <w:r>
              <w:rPr>
                <w:rFonts w:ascii="Times New Roman" w:hAnsi="Times New Roman"/>
                <w:sz w:val="24"/>
                <w:szCs w:val="24"/>
              </w:rPr>
              <w:t xml:space="preserve">биосовместимый, двуслойный. Должен накладываться как без подшивания, так и с подшиванием. Размер: ширина не менее 50 мм и не более 75 мм, длина не менее 70 мм и не более 75 мм. Должен быть изготовлен на основе бычьего коллагена: верхний слой из коллагена, </w:t>
            </w:r>
            <w:r>
              <w:rPr>
                <w:rFonts w:ascii="Times New Roman" w:hAnsi="Times New Roman"/>
                <w:sz w:val="24"/>
                <w:szCs w:val="24"/>
              </w:rPr>
              <w:t>полученного из коровьего перикарда; нижний слой – из очищенной коровьей кожи. Слои должны быть соединены методом лиофилизации, без помощи химических связующих. Полное восстановление твердой мозговой оболочки после протезирования не более 3 месяцев. Индивид</w:t>
            </w:r>
            <w:r>
              <w:rPr>
                <w:rFonts w:ascii="Times New Roman" w:hAnsi="Times New Roman"/>
                <w:sz w:val="24"/>
                <w:szCs w:val="24"/>
              </w:rPr>
              <w:t>уальная двухслойная стерильная упаковка. Указание срока стерильности изделия и номера партии на упаковке. Стерилизация этиленоксидом, без возможности рестерилизации. В упаковке 1 шт.</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5</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Катетер вентрикулярный 35 см с принадлежностями</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Катетер для</w:t>
            </w:r>
            <w:r>
              <w:rPr>
                <w:rFonts w:ascii="Times New Roman" w:hAnsi="Times New Roman"/>
                <w:sz w:val="24"/>
                <w:szCs w:val="24"/>
              </w:rPr>
              <w:t xml:space="preserve"> наружного вентрикулярного дренажа. Комплект катетера включает: катетер длиной 35 см, стилет из нержавеющей стали длиной 36 см, троакар из нержавеющей стали и «женский» коннектор типа Луэра. Внутренний диаметр катетера 1,5 мм, внешний – 3,1 мм. На конце ка</w:t>
            </w:r>
            <w:r>
              <w:rPr>
                <w:rFonts w:ascii="Times New Roman" w:hAnsi="Times New Roman"/>
                <w:sz w:val="24"/>
                <w:szCs w:val="24"/>
              </w:rPr>
              <w:t>тетера находятся 20 отверстий для ликвора. На внешней стороне катетера нанесена маркировка глубины введения в сантиметрах – начиная с 3 см от конца катетера и до 15 сантиметров от конца катетера (через каждый сантиметр). Катетер с пропиткой антибиотиками 0</w:t>
            </w:r>
            <w:r>
              <w:rPr>
                <w:rFonts w:ascii="Times New Roman" w:hAnsi="Times New Roman"/>
                <w:sz w:val="24"/>
                <w:szCs w:val="24"/>
              </w:rPr>
              <w:t>,15% клиндамицин и 0,054 % рифампицин. Антибиотики выделяются за  28 дней после имплантации на внутренюю и внешнюю поверхность катетера. Поставляется в стерильной упаковке.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6</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Клипс для закрытия трепанационного отверстия</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Имплантируемое изделие,</w:t>
            </w:r>
            <w:r>
              <w:rPr>
                <w:rFonts w:ascii="Times New Roman" w:hAnsi="Times New Roman"/>
                <w:sz w:val="24"/>
                <w:szCs w:val="24"/>
              </w:rPr>
              <w:t xml:space="preserve">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w:t>
            </w:r>
            <w:r>
              <w:rPr>
                <w:rFonts w:ascii="Times New Roman" w:hAnsi="Times New Roman"/>
                <w:sz w:val="24"/>
                <w:szCs w:val="24"/>
              </w:rPr>
              <w:t xml:space="preserve"> нижняя пластина соединена со стержнем, верхняя пластина подвижна. Размеры: диаметр каждой пластины 11 мм, длина стержня 51 мм. Форма пластин: выпукло-вогнутые диски и блокирующие зубцы, проходящие вдоль всего края вогнутой стороны, для фиксации. Без отвер</w:t>
            </w:r>
            <w:r>
              <w:rPr>
                <w:rFonts w:ascii="Times New Roman" w:hAnsi="Times New Roman"/>
                <w:sz w:val="24"/>
                <w:szCs w:val="24"/>
              </w:rPr>
              <w:t>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w:t>
            </w:r>
            <w:r>
              <w:rPr>
                <w:rFonts w:ascii="Times New Roman" w:hAnsi="Times New Roman"/>
                <w:sz w:val="24"/>
                <w:szCs w:val="24"/>
              </w:rPr>
              <w:t>жения пластин, производства Jeil Medical.</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7</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Клипс для закрытия трепанационного отверстия</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Имплантируемое изделие, предназначенное для двухсторонней фиксации костного лоскута после краниотомии и закрытия трепанационных отверстий. </w:t>
            </w:r>
            <w:r>
              <w:rPr>
                <w:rFonts w:ascii="Times New Roman" w:hAnsi="Times New Roman"/>
                <w:sz w:val="24"/>
                <w:szCs w:val="24"/>
              </w:rPr>
              <w:t>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16 мм, длина сте</w:t>
            </w:r>
            <w:r>
              <w:rPr>
                <w:rFonts w:ascii="Times New Roman" w:hAnsi="Times New Roman"/>
                <w:sz w:val="24"/>
                <w:szCs w:val="24"/>
              </w:rPr>
              <w:t>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w:t>
            </w:r>
            <w:r>
              <w:rPr>
                <w:rFonts w:ascii="Times New Roman" w:hAnsi="Times New Roman"/>
                <w:sz w:val="24"/>
                <w:szCs w:val="24"/>
              </w:rPr>
              <w:t>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8</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Материал рассывающийся хирургический гемостатический </w:t>
            </w:r>
            <w:r>
              <w:rPr>
                <w:rFonts w:ascii="Times New Roman" w:hAnsi="Times New Roman"/>
                <w:sz w:val="24"/>
                <w:szCs w:val="24"/>
              </w:rPr>
              <w:t>СЕРДЖИСЕЛ ФИБРИЛЛАР 5,1 см х 10,2 см</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w:t>
            </w:r>
            <w:r>
              <w:rPr>
                <w:rFonts w:ascii="Times New Roman" w:hAnsi="Times New Roman"/>
                <w:sz w:val="24"/>
                <w:szCs w:val="24"/>
              </w:rPr>
              <w:t>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w:t>
            </w:r>
            <w:r>
              <w:rPr>
                <w:rFonts w:ascii="Times New Roman" w:hAnsi="Times New Roman"/>
                <w:sz w:val="24"/>
                <w:szCs w:val="24"/>
              </w:rPr>
              <w:t>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w:t>
            </w:r>
            <w:r>
              <w:rPr>
                <w:rFonts w:ascii="Times New Roman" w:hAnsi="Times New Roman"/>
                <w:sz w:val="24"/>
                <w:szCs w:val="24"/>
              </w:rPr>
              <w:t xml:space="preserve">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w:t>
            </w:r>
            <w:r>
              <w:rPr>
                <w:rFonts w:ascii="Times New Roman" w:hAnsi="Times New Roman"/>
                <w:sz w:val="24"/>
                <w:szCs w:val="24"/>
              </w:rPr>
              <w:t>икоустойчивые штаммы MRSA, MRSE, PRSP, VRE. Возможность проведения электрокоагуляции через ткань гемостатика. Размер  не менее 5.1 х 10.2 см.  Форма поставки по 10 штук в коробке, каждая штука в индивидуальной стерильной упаковке. Хранение при комнатной те</w:t>
            </w:r>
            <w:r>
              <w:rPr>
                <w:rFonts w:ascii="Times New Roman" w:hAnsi="Times New Roman"/>
                <w:sz w:val="24"/>
                <w:szCs w:val="24"/>
              </w:rPr>
              <w:t>мпературе, не ниже 15℃ в течение всего срока годности.</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9</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Мешок для сбора цереброспинальной жидкости 700 мл, одноразовый №5</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Мешки пластиковые для сбора спинномозговой жидкости объемом 700 мл. 5 штук в упаковке. Поставляется в стерильной </w:t>
            </w:r>
            <w:r>
              <w:rPr>
                <w:rFonts w:ascii="Times New Roman" w:hAnsi="Times New Roman"/>
                <w:sz w:val="24"/>
                <w:szCs w:val="24"/>
              </w:rPr>
              <w:t>упаковке.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10</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Система для наружного люмбального дренажа</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Комплект наружного люмбального дренажа. Комплект включает рентгеноконтрастный люмбальный катетер длиной 80 см с закрытым концом, проводник длиной 100 см с тефлоновым покрытием, иглу Туохи </w:t>
            </w:r>
            <w:r>
              <w:rPr>
                <w:rFonts w:ascii="Times New Roman" w:hAnsi="Times New Roman"/>
                <w:sz w:val="24"/>
                <w:szCs w:val="24"/>
              </w:rPr>
              <w:t>14 G с метками глубины через каждый 1 см, "female" коннектор типа Луэра с заглушкой. Поставляется в стерильной упаковке.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21</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11</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Набор матрицы гемостатической  с гибким наконечником и тромбином СЕРДЖИФЛО С ТРОМБИНОМ</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Набор для приготовления </w:t>
            </w:r>
            <w:r>
              <w:rPr>
                <w:rFonts w:ascii="Times New Roman" w:hAnsi="Times New Roman"/>
                <w:sz w:val="24"/>
                <w:szCs w:val="24"/>
              </w:rPr>
              <w:t>стерильной рассасывающейся гемостатической матрицы пенистой консистенции, которая позволяет применять его при кровотечениях в труднодоступных местах и неровных поверхностях, например, спилах кости.  Срок рассасывания составляет 4-6 недель и зависит от инди</w:t>
            </w:r>
            <w:r>
              <w:rPr>
                <w:rFonts w:ascii="Times New Roman" w:hAnsi="Times New Roman"/>
                <w:sz w:val="24"/>
                <w:szCs w:val="24"/>
              </w:rPr>
              <w:t>видуальных особенностей пациента. Комплект состоит из двух шприцов объемом 10 мл каждый, в одном из которых желатиновая гемостатическая матрица объемом 6 мл, второй предназначен для переноса раствора тромбина и разведения им желатина, флакона с лиофилизиро</w:t>
            </w:r>
            <w:r>
              <w:rPr>
                <w:rFonts w:ascii="Times New Roman" w:hAnsi="Times New Roman"/>
                <w:sz w:val="24"/>
                <w:szCs w:val="24"/>
              </w:rPr>
              <w:t>ванным человеческим тромбином, безиглового шприца со стерильной водой объемом 2 мл, адаптера для флакона, емкости для переноса раствора тромбина,  двух наконечников. Простой белый наконечник длиной 14,3 см может быть отрезан до нужной длины; синий наконечн</w:t>
            </w:r>
            <w:r>
              <w:rPr>
                <w:rFonts w:ascii="Times New Roman" w:hAnsi="Times New Roman"/>
                <w:sz w:val="24"/>
                <w:szCs w:val="24"/>
              </w:rPr>
              <w:t>ик длиной 14,6 см с памятью формы. Время приготовлерия продукта - не более 1,5 минуты. Приготовленный продукт может быть использован в течение 8 часов.  Набор стерильный, для одноразового использования. Хранение и транспортировка при температуре от 2 до 25</w:t>
            </w:r>
            <w:r>
              <w:rPr>
                <w:rFonts w:ascii="Times New Roman" w:hAnsi="Times New Roman"/>
                <w:sz w:val="24"/>
                <w:szCs w:val="24"/>
              </w:rPr>
              <w:t>℃. Форма поставки - одна штука в коробке.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12</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w:t>
            </w:r>
            <w:r>
              <w:rPr>
                <w:rFonts w:ascii="Times New Roman" w:hAnsi="Times New Roman"/>
                <w:sz w:val="24"/>
                <w:szCs w:val="24"/>
              </w:rPr>
              <w:t xml:space="preserve">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w:t>
            </w:r>
            <w:r>
              <w:rPr>
                <w:rFonts w:ascii="Times New Roman" w:hAnsi="Times New Roman"/>
                <w:sz w:val="24"/>
                <w:szCs w:val="24"/>
              </w:rPr>
              <w:t xml:space="preserve">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w:t>
            </w:r>
            <w:r>
              <w:rPr>
                <w:rFonts w:ascii="Times New Roman" w:hAnsi="Times New Roman"/>
                <w:sz w:val="24"/>
                <w:szCs w:val="24"/>
              </w:rPr>
              <w:t>серебра. Наконечники должны быть прямой формы, шириной 0,2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w:t>
            </w:r>
            <w:r>
              <w:rPr>
                <w:rFonts w:ascii="Times New Roman" w:hAnsi="Times New Roman"/>
                <w:sz w:val="24"/>
                <w:szCs w:val="24"/>
              </w:rPr>
              <w:t>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13</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Назначение: для биполярной коагуляции. Пинцет </w:t>
            </w:r>
            <w:r>
              <w:rPr>
                <w:rFonts w:ascii="Times New Roman" w:hAnsi="Times New Roman"/>
                <w:sz w:val="24"/>
                <w:szCs w:val="24"/>
              </w:rPr>
              <w:t>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w:t>
            </w:r>
            <w:r>
              <w:rPr>
                <w:rFonts w:ascii="Times New Roman" w:hAnsi="Times New Roman"/>
                <w:sz w:val="24"/>
                <w:szCs w:val="24"/>
              </w:rPr>
              <w:t>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115 мм. Длина изде</w:t>
            </w:r>
            <w:r>
              <w:rPr>
                <w:rFonts w:ascii="Times New Roman" w:hAnsi="Times New Roman"/>
                <w:sz w:val="24"/>
                <w:szCs w:val="24"/>
              </w:rPr>
              <w:t>лия 230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 0,4 мм длиной 6 мм. Ширина рабочей части наконечника должен быть указан на пинце</w:t>
            </w:r>
            <w:r>
              <w:rPr>
                <w:rFonts w:ascii="Times New Roman" w:hAnsi="Times New Roman"/>
                <w:sz w:val="24"/>
                <w:szCs w:val="24"/>
              </w:rPr>
              <w:t>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w:t>
            </w:r>
            <w:r>
              <w:rPr>
                <w:rFonts w:ascii="Times New Roman" w:hAnsi="Times New Roman"/>
                <w:sz w:val="24"/>
                <w:szCs w:val="24"/>
              </w:rPr>
              <w:t>ной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14</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w:t>
            </w:r>
            <w:r>
              <w:rPr>
                <w:rFonts w:ascii="Times New Roman" w:hAnsi="Times New Roman"/>
                <w:sz w:val="24"/>
                <w:szCs w:val="24"/>
              </w:rPr>
              <w:t xml:space="preserve">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w:t>
            </w:r>
            <w:r>
              <w:rPr>
                <w:rFonts w:ascii="Times New Roman" w:hAnsi="Times New Roman"/>
                <w:sz w:val="24"/>
                <w:szCs w:val="24"/>
              </w:rPr>
              <w:t>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Нако</w:t>
            </w:r>
            <w:r>
              <w:rPr>
                <w:rFonts w:ascii="Times New Roman" w:hAnsi="Times New Roman"/>
                <w:sz w:val="24"/>
                <w:szCs w:val="24"/>
              </w:rPr>
              <w:t>нечники должны быть прямой формы, шириной 0,4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w:t>
            </w:r>
            <w:r>
              <w:rPr>
                <w:rFonts w:ascii="Times New Roman" w:hAnsi="Times New Roman"/>
                <w:sz w:val="24"/>
                <w:szCs w:val="24"/>
              </w:rPr>
              <w:t xml:space="preserve">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15</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Пинцет биполярный прямой</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Назначение: для биполярной коагуляции. Пинцет стерильный, </w:t>
            </w:r>
            <w:r>
              <w:rPr>
                <w:rFonts w:ascii="Times New Roman" w:hAnsi="Times New Roman"/>
                <w:sz w:val="24"/>
                <w:szCs w:val="24"/>
              </w:rPr>
              <w:t>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w:t>
            </w:r>
            <w:r>
              <w:rPr>
                <w:rFonts w:ascii="Times New Roman" w:hAnsi="Times New Roman"/>
                <w:sz w:val="24"/>
                <w:szCs w:val="24"/>
              </w:rPr>
              <w:t>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w:t>
            </w:r>
            <w:r>
              <w:rPr>
                <w:rFonts w:ascii="Times New Roman" w:hAnsi="Times New Roman"/>
                <w:sz w:val="24"/>
                <w:szCs w:val="24"/>
              </w:rPr>
              <w:t>ончики пинцета должны обладать антипригарным свойством, выполнены из серебро с покрытыем из твердого сплава серебра. Диаметр не более 3,8 мм. Наконечники должны быть прямой формы, шириной 1,0 мм длиной 8 мм. Диаметр наконечника должен быть указан на пинцет</w:t>
            </w:r>
            <w:r>
              <w:rPr>
                <w:rFonts w:ascii="Times New Roman" w:hAnsi="Times New Roman"/>
                <w:sz w:val="24"/>
                <w:szCs w:val="24"/>
              </w:rPr>
              <w:t>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w:t>
            </w:r>
            <w:r>
              <w:rPr>
                <w:rFonts w:ascii="Times New Roman" w:hAnsi="Times New Roman"/>
                <w:sz w:val="24"/>
                <w:szCs w:val="24"/>
              </w:rPr>
              <w:t>ой упаковке. В упаковке 1 шт.</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16</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Пинцет коагуляционный биполярный байонет</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Назначение: для биполярной коагуляции. Пинцет стерильный, одноразового применения. Байонетная форма, рабочая часть прямая, узкий дизайн для лучшего обзора под </w:t>
            </w:r>
            <w:r>
              <w:rPr>
                <w:rFonts w:ascii="Times New Roman" w:hAnsi="Times New Roman"/>
                <w:sz w:val="24"/>
                <w:szCs w:val="24"/>
              </w:rPr>
              <w:t>микроскопом. Кончики пинцета выполнены из сплава желтого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Должно быть наличие вилки с круглыми штекерами для сое</w:t>
            </w:r>
            <w:r>
              <w:rPr>
                <w:rFonts w:ascii="Times New Roman" w:hAnsi="Times New Roman"/>
                <w:sz w:val="24"/>
                <w:szCs w:val="24"/>
              </w:rPr>
              <w:t>динения с кабелем. Общая длина пинцета не менее 210мм и не более 215мм. Длина рабочей области не менее 110мм и не более 115мм. Ширина наконечников не менее 0.3мм и не более 0.5мм. Наличие маркировки с наименованием и/или фирменным знаком производителя, кат</w:t>
            </w:r>
            <w:r>
              <w:rPr>
                <w:rFonts w:ascii="Times New Roman" w:hAnsi="Times New Roman"/>
                <w:sz w:val="24"/>
                <w:szCs w:val="24"/>
              </w:rPr>
              <w:t>аложным номером. Поставляются в индивидуальной стерильной упаковке. В упаковке не менее 5шт.</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17</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Пинцет коагуляционный биполярный байонет</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Назначение: для биполярной коагуляции. Пинцет стерильный, одноразового применения. Байонетная форма, рабочая</w:t>
            </w:r>
            <w:r>
              <w:rPr>
                <w:rFonts w:ascii="Times New Roman" w:hAnsi="Times New Roman"/>
                <w:sz w:val="24"/>
                <w:szCs w:val="24"/>
              </w:rPr>
              <w:t xml:space="preserve"> часть прямая, узкий дизайн для лучшего обзора под микроскопом. Кончики пинцета выполнены из сплава желтого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w:t>
            </w:r>
            <w:r>
              <w:rPr>
                <w:rFonts w:ascii="Times New Roman" w:hAnsi="Times New Roman"/>
                <w:sz w:val="24"/>
                <w:szCs w:val="24"/>
              </w:rPr>
              <w:t>жно быть наличие вилки с круглыми штекерами для соединения с кабелем. Общая длина пинцета не менее 210мм и не более 215мм. Длина рабочей области не менее 110мм и не более 115мм. Ширина наконечников не менее 0.8мм и не более 1.0мм. Наличие маркировки с наим</w:t>
            </w:r>
            <w:r>
              <w:rPr>
                <w:rFonts w:ascii="Times New Roman" w:hAnsi="Times New Roman"/>
                <w:sz w:val="24"/>
                <w:szCs w:val="24"/>
              </w:rPr>
              <w:t>енованием и/или фирменным знаком производителя, каталожным номером. Поставляются в индивидуальной стерильной упаковке. В упаковке не менее 5шт.</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18</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Система шунтирующая высокоточная Хакима - клапан с плоским дном</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Система шунтирующая высокоточная </w:t>
            </w:r>
            <w:r>
              <w:rPr>
                <w:rFonts w:ascii="Times New Roman" w:hAnsi="Times New Roman"/>
                <w:sz w:val="24"/>
                <w:szCs w:val="24"/>
              </w:rPr>
              <w:t>для лечения гидроцефалии - клапан с плоским дном. Давление открытия 70 мм H2O, +/- 10 мм H2O. Механизм клапана с рубиновым шариком, рубиновым хомутом и стальной пружиной. Высота профиля клапана не более 7,6 мм. Длина (без коннекторов) не более 40 мм, ширин</w:t>
            </w:r>
            <w:r>
              <w:rPr>
                <w:rFonts w:ascii="Times New Roman" w:hAnsi="Times New Roman"/>
                <w:sz w:val="24"/>
                <w:szCs w:val="24"/>
              </w:rPr>
              <w:t>а не более 12,1 мм. Комплект должен включать адаптер для предварительного заполнения пластиковый. Должен поставляться в стерильной упаковке.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19</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Средство кровоостанавливающее из микрофибриллярного коллагена Avitene</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Средство гемостатическое на </w:t>
            </w:r>
            <w:r>
              <w:rPr>
                <w:rFonts w:ascii="Times New Roman" w:hAnsi="Times New Roman"/>
                <w:sz w:val="24"/>
                <w:szCs w:val="24"/>
              </w:rPr>
              <w:t>основе коллагена. Стерильное рассасывающееся изделие, получаемое из коллагена животного происхождения (например, бычьего или свиного коллагена), разрабатываемое для обеспечения гемостаза за счет активации/агрегации тромбоцитов (которые инициируют постепенн</w:t>
            </w:r>
            <w:r>
              <w:rPr>
                <w:rFonts w:ascii="Times New Roman" w:hAnsi="Times New Roman"/>
                <w:sz w:val="24"/>
                <w:szCs w:val="24"/>
              </w:rPr>
              <w:t>ую остановку кровотечения вплоть до образования фибринового сгустка) во время проведения хирургической операции. Изделие наносится непосредственно на рану, где и остается до полного его рассасывания организмом; оно не предназначено специально для конкретны</w:t>
            </w:r>
            <w:r>
              <w:rPr>
                <w:rFonts w:ascii="Times New Roman" w:hAnsi="Times New Roman"/>
                <w:sz w:val="24"/>
                <w:szCs w:val="24"/>
              </w:rPr>
              <w:t>х частей тела и не содержит антибактериальное вещество. Оно может поставляться в форме волокнистой или мягкой, гибкой прокладки/губки или разрыхленных волокон; может использоваться в сочетании с фибриновым клеем. Это изделие для одноразового использования.</w:t>
            </w:r>
            <w:r>
              <w:rPr>
                <w:rFonts w:ascii="Times New Roman" w:hAnsi="Times New Roman"/>
                <w:sz w:val="24"/>
                <w:szCs w:val="24"/>
              </w:rPr>
              <w:t xml:space="preserve"> Средство гемостатическое, рассасывающееся, не увеличивающееся в объемах. Для применения в соответствии со спецификой и техникой проведения оперативного вмешательства для предотвращения кровопотери, применяется при хирургических процудурах, не создает комп</w:t>
            </w:r>
            <w:r>
              <w:rPr>
                <w:rFonts w:ascii="Times New Roman" w:hAnsi="Times New Roman"/>
                <w:sz w:val="24"/>
                <w:szCs w:val="24"/>
              </w:rPr>
              <w:t>рессию. Вид: рыхлая волокнистая форма. Материал: Микрофибриллярный монокомпонентный на основе бычьего коллагена в виде многослойной волокнистой структуры. Форма: Рыхлая волокнистая, также возможно использование в виде пасты. Фасовка не менее 1 гр. Форма по</w:t>
            </w:r>
            <w:r>
              <w:rPr>
                <w:rFonts w:ascii="Times New Roman" w:hAnsi="Times New Roman"/>
                <w:sz w:val="24"/>
                <w:szCs w:val="24"/>
              </w:rPr>
              <w:t>ставки: Индивидуальная стерильная упаковка Срок стерильности не менее 36 месяцев.</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20</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Фреза  взрослая (фреза для 5400-10-59 и 5400-10-259)</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Фреза прямая, взрослая, длина рабочей части 16мм, диаметр 1,7 мм.</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21</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Фреза-перфоратор 14 мм </w:t>
            </w:r>
            <w:r>
              <w:rPr>
                <w:rFonts w:ascii="Times New Roman" w:hAnsi="Times New Roman"/>
                <w:sz w:val="24"/>
                <w:szCs w:val="24"/>
              </w:rPr>
              <w:t>для краниотома, одноразовый</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Одноразовый перфоратор для краниотомии состоит из трех основных частей: рабочей части, предназначенной для проделывания фрезевых отверстий, ссцепляющего механизма, предвращающего попадание перфоратора в полость черепа и травмиро</w:t>
            </w:r>
            <w:r>
              <w:rPr>
                <w:rFonts w:ascii="Times New Roman" w:hAnsi="Times New Roman"/>
                <w:sz w:val="24"/>
                <w:szCs w:val="24"/>
              </w:rPr>
              <w:t>вание мягких тканей, индикатора стерилизации и замка типа "Хадсон". диаметр 14мм, продается в серильной одноразовой упаковке.</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lastRenderedPageBreak/>
              <w:t>22</w:t>
            </w:r>
          </w:p>
        </w:tc>
        <w:tc>
          <w:tcPr>
            <w:tcW w:w="253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Чехлы защитные для операционных микроскопов</w:t>
            </w:r>
          </w:p>
        </w:tc>
        <w:tc>
          <w:tcPr>
            <w:tcW w:w="331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 xml:space="preserve">одноразовый стерильный чехол, размер не менее 132x340см. Материал - </w:t>
            </w:r>
            <w:r>
              <w:rPr>
                <w:rFonts w:ascii="Times New Roman" w:hAnsi="Times New Roman"/>
                <w:sz w:val="24"/>
                <w:szCs w:val="24"/>
              </w:rPr>
              <w:t>легкий прозрачный полиэтилен, не содержащий латекс, асбест и полихлорированных бифенилов. Чехол должен иметь рукава для ассистентских тубусов. Рукава  должны быть  снабжены выступами для окуляров высотой не менее 10см и снабжены перфорацией на расстоянии н</w:t>
            </w:r>
            <w:r>
              <w:rPr>
                <w:rFonts w:ascii="Times New Roman" w:hAnsi="Times New Roman"/>
                <w:sz w:val="24"/>
                <w:szCs w:val="24"/>
              </w:rPr>
              <w:t>е менее 4,5-5см от края. Расстояние фиксирующей ленты от перфорации не менее 4 см. Чехол должен быть оснащен специальной защитной линзой  для объектива микроскопа, расположенной под углом к объективу, для исключения  бликов от источника света, диаметр линз</w:t>
            </w:r>
            <w:r>
              <w:rPr>
                <w:rFonts w:ascii="Times New Roman" w:hAnsi="Times New Roman"/>
                <w:sz w:val="24"/>
                <w:szCs w:val="24"/>
              </w:rPr>
              <w:t>ы – 65 мм, толщина не более 1,5мм .Линза должна быть защищена от царапин легкоснимаемой пленкой, легко выниматься из держателя при помощи крепления типа «салазки».  Линза должна быть откалибрована для использования микроскопа совместно с навигационной сист</w:t>
            </w:r>
            <w:r>
              <w:rPr>
                <w:rFonts w:ascii="Times New Roman" w:hAnsi="Times New Roman"/>
                <w:sz w:val="24"/>
                <w:szCs w:val="24"/>
              </w:rPr>
              <w:t xml:space="preserve">емой. Магнитная фиксация на объективе микроскопа Наличие специальных фиксирующих лент, препятствующих смещению чехла с микроскопа с возможностью неоднократной корректировкой фиксации.  Индивидуальная упаковка должна быть из полимерных пленок и открываться </w:t>
            </w:r>
            <w:r>
              <w:rPr>
                <w:rFonts w:ascii="Times New Roman" w:hAnsi="Times New Roman"/>
                <w:sz w:val="24"/>
                <w:szCs w:val="24"/>
              </w:rPr>
              <w:t>без помощи ножниц.  Должна содержать наглядную инструкцию по использованию чехла. Срок годности 5 лет с момента производства Чехол должен быть адаптирован для использования с микроскопом  KINEVO 900» производства Carl Zeiss Meditec AG (Германия). Предлагае</w:t>
            </w:r>
            <w:r>
              <w:rPr>
                <w:rFonts w:ascii="Times New Roman" w:hAnsi="Times New Roman"/>
                <w:sz w:val="24"/>
                <w:szCs w:val="24"/>
              </w:rPr>
              <w:t xml:space="preserve">мый к поставке чехол должен иметь рекомендацию производителя операционного микроскопа о допустимом использовании совместно с операционным микроскопом без риска возникновения значительной потери навигационной точности. Единица поставки - Картонная упаковка </w:t>
            </w:r>
            <w:r>
              <w:rPr>
                <w:rFonts w:ascii="Times New Roman" w:hAnsi="Times New Roman"/>
                <w:sz w:val="24"/>
                <w:szCs w:val="24"/>
              </w:rPr>
              <w:t>из 5 индивидуально упакованных в стерильные пакеты , штук.</w:t>
            </w:r>
          </w:p>
        </w:tc>
        <w:tc>
          <w:tcPr>
            <w:tcW w:w="112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cPr>
          <w:p w:rsidR="00797BBD" w:rsidRDefault="00C30657">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2100" w:type="dxa"/>
            <w:tcBorders>
              <w:top w:val="single" w:sz="5" w:space="0" w:color="auto"/>
              <w:bottom w:val="single" w:sz="5" w:space="0" w:color="auto"/>
              <w:right w:val="single" w:sz="5" w:space="0" w:color="auto"/>
            </w:tcBorders>
            <w:shd w:val="clear" w:color="auto" w:fill="auto"/>
          </w:tcPr>
          <w:p w:rsidR="00797BBD" w:rsidRDefault="00797BB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797BBD" w:rsidRDefault="00797BBD"/>
        </w:tc>
      </w:tr>
      <w:tr w:rsidR="00797BBD">
        <w:tblPrEx>
          <w:tblCellMar>
            <w:top w:w="0" w:type="dxa"/>
            <w:bottom w:w="0" w:type="dxa"/>
          </w:tblCellMar>
        </w:tblPrEx>
        <w:trPr>
          <w:cantSplit/>
          <w:trHeight w:val="375"/>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797BBD">
        <w:tblPrEx>
          <w:tblCellMar>
            <w:top w:w="0" w:type="dxa"/>
            <w:bottom w:w="0" w:type="dxa"/>
          </w:tblCellMar>
        </w:tblPrEx>
        <w:trPr>
          <w:cantSplit/>
          <w:trHeight w:val="120"/>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797BBD">
        <w:tblPrEx>
          <w:tblCellMar>
            <w:top w:w="0" w:type="dxa"/>
            <w:bottom w:w="0" w:type="dxa"/>
          </w:tblCellMar>
        </w:tblPrEx>
        <w:trPr>
          <w:cantSplit/>
          <w:trHeight w:val="120"/>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797BBD">
        <w:tblPrEx>
          <w:tblCellMar>
            <w:top w:w="0" w:type="dxa"/>
            <w:bottom w:w="0" w:type="dxa"/>
          </w:tblCellMar>
        </w:tblPrEx>
        <w:trPr>
          <w:cantSplit/>
          <w:trHeight w:val="165"/>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rsidP="00C30657">
            <w:r>
              <w:rPr>
                <w:rFonts w:ascii="Times New Roman" w:hAnsi="Times New Roman"/>
                <w:sz w:val="28"/>
                <w:szCs w:val="28"/>
              </w:rPr>
              <w:t xml:space="preserve">       Предложения принимаются в срок до 15.09</w:t>
            </w:r>
            <w:bookmarkStart w:id="0" w:name="_GoBack"/>
            <w:bookmarkEnd w:id="0"/>
            <w:r>
              <w:rPr>
                <w:rFonts w:ascii="Times New Roman" w:hAnsi="Times New Roman"/>
                <w:sz w:val="28"/>
                <w:szCs w:val="28"/>
              </w:rPr>
              <w:t xml:space="preserve">.2023 17:00:00 по местному времени. </w:t>
            </w:r>
          </w:p>
        </w:tc>
      </w:tr>
      <w:tr w:rsidR="00797BBD">
        <w:tblPrEx>
          <w:tblCellMar>
            <w:top w:w="0" w:type="dxa"/>
            <w:bottom w:w="0" w:type="dxa"/>
          </w:tblCellMar>
        </w:tblPrEx>
        <w:trPr>
          <w:cantSplit/>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r>
              <w:rPr>
                <w:rFonts w:ascii="Times New Roman" w:hAnsi="Times New Roman"/>
                <w:sz w:val="28"/>
                <w:szCs w:val="28"/>
              </w:rPr>
              <w:t>Руководитель контрактной службы________________________/Алешечкина Е.А./</w:t>
            </w:r>
          </w:p>
        </w:tc>
      </w:tr>
      <w:tr w:rsidR="00797BBD">
        <w:tblPrEx>
          <w:tblCellMar>
            <w:top w:w="0" w:type="dxa"/>
            <w:bottom w:w="0" w:type="dxa"/>
          </w:tblCellMar>
        </w:tblPrEx>
        <w:trPr>
          <w:cantSplit/>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945" w:type="dxa"/>
            <w:shd w:val="clear" w:color="auto" w:fill="auto"/>
            <w:vAlign w:val="bottom"/>
          </w:tcPr>
          <w:p w:rsidR="00797BBD" w:rsidRDefault="00797BBD"/>
        </w:tc>
        <w:tc>
          <w:tcPr>
            <w:tcW w:w="2535" w:type="dxa"/>
            <w:shd w:val="clear" w:color="auto" w:fill="auto"/>
            <w:vAlign w:val="bottom"/>
          </w:tcPr>
          <w:p w:rsidR="00797BBD" w:rsidRDefault="00797BBD"/>
        </w:tc>
        <w:tc>
          <w:tcPr>
            <w:tcW w:w="3315" w:type="dxa"/>
            <w:shd w:val="clear" w:color="auto" w:fill="auto"/>
            <w:vAlign w:val="bottom"/>
          </w:tcPr>
          <w:p w:rsidR="00797BBD" w:rsidRDefault="00797BBD"/>
        </w:tc>
        <w:tc>
          <w:tcPr>
            <w:tcW w:w="1125" w:type="dxa"/>
            <w:shd w:val="clear" w:color="auto" w:fill="auto"/>
            <w:vAlign w:val="bottom"/>
          </w:tcPr>
          <w:p w:rsidR="00797BBD" w:rsidRDefault="00797BBD"/>
        </w:tc>
        <w:tc>
          <w:tcPr>
            <w:tcW w:w="1275" w:type="dxa"/>
            <w:shd w:val="clear" w:color="auto" w:fill="auto"/>
            <w:vAlign w:val="bottom"/>
          </w:tcPr>
          <w:p w:rsidR="00797BBD" w:rsidRDefault="00797BBD"/>
        </w:tc>
        <w:tc>
          <w:tcPr>
            <w:tcW w:w="1470" w:type="dxa"/>
            <w:shd w:val="clear" w:color="auto" w:fill="auto"/>
            <w:vAlign w:val="bottom"/>
          </w:tcPr>
          <w:p w:rsidR="00797BBD" w:rsidRDefault="00797BBD"/>
        </w:tc>
        <w:tc>
          <w:tcPr>
            <w:tcW w:w="2100" w:type="dxa"/>
            <w:shd w:val="clear" w:color="auto" w:fill="auto"/>
            <w:vAlign w:val="bottom"/>
          </w:tcPr>
          <w:p w:rsidR="00797BBD" w:rsidRDefault="00797BBD"/>
        </w:tc>
        <w:tc>
          <w:tcPr>
            <w:tcW w:w="1995" w:type="dxa"/>
            <w:shd w:val="clear" w:color="auto" w:fill="auto"/>
            <w:vAlign w:val="bottom"/>
          </w:tcPr>
          <w:p w:rsidR="00797BBD" w:rsidRDefault="00797BBD"/>
        </w:tc>
        <w:tc>
          <w:tcPr>
            <w:tcW w:w="1650" w:type="dxa"/>
            <w:shd w:val="clear" w:color="auto" w:fill="auto"/>
            <w:vAlign w:val="bottom"/>
          </w:tcPr>
          <w:p w:rsidR="00797BBD" w:rsidRDefault="00797BBD"/>
        </w:tc>
        <w:tc>
          <w:tcPr>
            <w:tcW w:w="1905" w:type="dxa"/>
            <w:shd w:val="clear" w:color="auto" w:fill="auto"/>
            <w:vAlign w:val="bottom"/>
          </w:tcPr>
          <w:p w:rsidR="00797BBD" w:rsidRDefault="00797BBD"/>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r>
              <w:rPr>
                <w:rFonts w:ascii="Times New Roman" w:hAnsi="Times New Roman"/>
                <w:sz w:val="28"/>
                <w:szCs w:val="28"/>
              </w:rPr>
              <w:t>Исполнитель:</w:t>
            </w:r>
          </w:p>
        </w:tc>
      </w:tr>
      <w:tr w:rsidR="00797BBD">
        <w:tblPrEx>
          <w:tblCellMar>
            <w:top w:w="0" w:type="dxa"/>
            <w:bottom w:w="0" w:type="dxa"/>
          </w:tblCellMar>
        </w:tblPrEx>
        <w:trPr>
          <w:cantSplit/>
        </w:trPr>
        <w:tc>
          <w:tcPr>
            <w:tcW w:w="18315" w:type="dxa"/>
            <w:gridSpan w:val="10"/>
            <w:shd w:val="clear" w:color="auto" w:fill="auto"/>
            <w:vAlign w:val="bottom"/>
          </w:tcPr>
          <w:p w:rsidR="00797BBD" w:rsidRDefault="00C30657">
            <w:r>
              <w:rPr>
                <w:rFonts w:ascii="Times New Roman" w:hAnsi="Times New Roman"/>
                <w:sz w:val="28"/>
                <w:szCs w:val="28"/>
              </w:rPr>
              <w:t>, тел.</w:t>
            </w:r>
          </w:p>
        </w:tc>
      </w:tr>
    </w:tbl>
    <w:p w:rsidR="00000000" w:rsidRDefault="00C30657"/>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97BBD"/>
    <w:rsid w:val="00797BBD"/>
    <w:rsid w:val="00C3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7B1B"/>
  <w15:docId w15:val="{75B64493-5178-4C16-AB30-FB304D60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3162</Words>
  <Characters>18027</Characters>
  <Application>Microsoft Office Word</Application>
  <DocSecurity>0</DocSecurity>
  <Lines>150</Lines>
  <Paragraphs>42</Paragraphs>
  <ScaleCrop>false</ScaleCrop>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Тумар Мария Александровна</cp:lastModifiedBy>
  <cp:revision>2</cp:revision>
  <dcterms:created xsi:type="dcterms:W3CDTF">2023-09-12T02:14:00Z</dcterms:created>
  <dcterms:modified xsi:type="dcterms:W3CDTF">2023-09-12T02:14:00Z</dcterms:modified>
</cp:coreProperties>
</file>