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 w:rsidRPr="005C5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Pr="005C5FFA" w:rsidRDefault="005C5FF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5F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5FF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5F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5FF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5F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5F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66C42" w:rsidRPr="005C5FFA" w:rsidRDefault="00366C4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66C42" w:rsidRPr="005C5FFA" w:rsidRDefault="00366C4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66C42" w:rsidRPr="005C5FFA" w:rsidRDefault="00366C4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66C42" w:rsidRPr="005C5FFA" w:rsidRDefault="00366C4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66C42" w:rsidRPr="005C5FFA" w:rsidRDefault="00366C4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66C42" w:rsidRPr="005C5FFA" w:rsidRDefault="00366C4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66C42" w:rsidRPr="005C5FFA" w:rsidRDefault="00366C42">
            <w:pPr>
              <w:rPr>
                <w:lang w:val="en-US"/>
              </w:rPr>
            </w:pP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 w:rsidP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 г. №1207-2023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Пробирки с вакуумом для различных исследований плазмы №100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Пробирки пластиковые (полиэтилентерефталат),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силиконизированные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дозированным вакуумом, для различных исследований плазмы. Объем забираемой крови - 6,0 мл, размеры пробирок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13х100 мм, реактив - гепарин лития, цветовая кодировка крышки (международный стандарт ISO 6710, ГОСТ Р ИСО 6710) - "зеленая" (внешний зеленый колпачок высотой не меньше 1,8 см, с вертикальными наружными бороздками для удобства снятия, внутренняя пробка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бутиловой резины, покрытой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геморепеллентом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обладающей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кровоотталкивающими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свойствами). Бумажная этикетка. Упаковка - пенопластовый штатив на 100 шт.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термоусадочной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пленке с этикеткой-инструкцией на боку. Знаки СЕ и стерильности на этикетках и упаковке</w:t>
            </w:r>
            <w:r>
              <w:rPr>
                <w:rFonts w:ascii="Times New Roman" w:hAnsi="Times New Roman"/>
                <w:sz w:val="24"/>
                <w:szCs w:val="24"/>
              </w:rPr>
              <w:t>. Стерильность - гамма-излучение. Минимальный остаточный срок годности после поставки товара не менее 80%.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366C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366C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Пробирки с вакуумом для гематологических исследований №100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Пробирка вакуумная с заданным уровнем вакуума для взятия точного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биоматериала.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пробирки - пластик (полиэтилентерефталат).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забираемой крови не более 4,0 мл (соответствует линии наполнения на этикетке).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допустимое отклонение объема забираемого биоматериала не более 10% от номинального объема </w:t>
            </w:r>
            <w:r>
              <w:rPr>
                <w:rFonts w:ascii="Times New Roman" w:hAnsi="Times New Roman"/>
                <w:sz w:val="24"/>
                <w:szCs w:val="24"/>
              </w:rPr>
              <w:t>пробы.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Размер пробирки не более 13х75 мм.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Крышка пробирки состоит из: пластикового колпачка, резиновой пробки и маркировочного кольца.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Пластиковый колпачок фиолетового цвета из полиэтилена, на поверхности которого нанесены противоскользящие выступы для иск</w:t>
            </w:r>
            <w:r>
              <w:rPr>
                <w:rFonts w:ascii="Times New Roman" w:hAnsi="Times New Roman"/>
                <w:sz w:val="24"/>
                <w:szCs w:val="24"/>
              </w:rPr>
              <w:t>лючения проскальзывания в руке лаборанта и рабочей системе анализатора. Колпачок плотно фиксирует внутреннюю часть крышки к пробирке.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Резиновая пробка выполнена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несмачиваемого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кровью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бромбутилкаучука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плотно фиксирована к пластиковому основанию крышки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необходима для прокалывания иглой. Пробка сохраняет герметичность и вакуум в пробирке.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Маркировочное кольцо черного цвета из полипропилена служит для быстрой и эффективной зрительной идентификации типов пробирок на всех этапах лабораторного процесса, а та</w:t>
            </w:r>
            <w:r>
              <w:rPr>
                <w:rFonts w:ascii="Times New Roman" w:hAnsi="Times New Roman"/>
                <w:sz w:val="24"/>
                <w:szCs w:val="24"/>
              </w:rPr>
              <w:t>кже для разделения потоков проб.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Внешняя и внутренняя часть крышки зафиксированы между собой и составляют единую конструкцию.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крышке и пробирке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полнозаходная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винтовая резьба, исключающая самопроизвольное открывание при транспортировке и </w:t>
            </w:r>
            <w:r>
              <w:rPr>
                <w:rFonts w:ascii="Times New Roman" w:hAnsi="Times New Roman"/>
                <w:sz w:val="24"/>
                <w:szCs w:val="24"/>
              </w:rPr>
              <w:t>центрифугировании, и обеспечивающая многократное плавное открывание и закрывание пробирки без дополнительных усилий и аэрозольного эффекта.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внутренних стенках пробирки сухой мелкодисперсный антикоагулянт К2ЭДТА.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Этикетка пробирки бумажная, с полями для </w:t>
            </w:r>
            <w:r>
              <w:rPr>
                <w:rFonts w:ascii="Times New Roman" w:hAnsi="Times New Roman"/>
                <w:sz w:val="24"/>
                <w:szCs w:val="24"/>
              </w:rPr>
              <w:t>внесения данных пациента, горизонтальной фиолетовой полосой, логотипом производителя, отметкой уровня наполнения. Этикетка содержит информацию: каталожный номер, номер лота, срок годности, наименование и состав добавки, объем забираемой крови, символ стери</w:t>
            </w:r>
            <w:r>
              <w:rPr>
                <w:rFonts w:ascii="Times New Roman" w:hAnsi="Times New Roman"/>
                <w:sz w:val="24"/>
                <w:szCs w:val="24"/>
              </w:rPr>
              <w:t>льности и способ стерилизации (‘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’, ‘R’-гамма излучение), символ однократности применения.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Область применения: гематология.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 диапазон хранения вакуумных пробирок +4°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+25°C.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- не менее 50 шт. в пластиковом штативе, запаянном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полиэтилен. При повторном использовании штатив подлежит обработке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средствами.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Этикетка на упаковке на русском языке.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Требуется соответствие продукции ГОСТ ИСО 6710-2011, ГОСТ Р 53079.4-2008, ГОСТ ISO 10993-1-2011, 10993-5-2011, 10993-10-2011, 10993-1</w:t>
            </w:r>
            <w:r>
              <w:rPr>
                <w:rFonts w:ascii="Times New Roman" w:hAnsi="Times New Roman"/>
                <w:sz w:val="24"/>
                <w:szCs w:val="24"/>
              </w:rPr>
              <w:t>1-2011.</w:t>
            </w:r>
          </w:p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Характеристики, не перечисленные в ГОСТ, требуются в соответствии с логистическими и технологическими решениями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преаналитического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этапа лабораторных исследований и комплексом санитарно-эпидемиологических мер, принятых в ЛПУ Заказчика.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5C5FF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366C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66C42" w:rsidRDefault="00366C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C42" w:rsidRDefault="005C5FF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C42" w:rsidRDefault="005C5FF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C42" w:rsidRDefault="005C5FF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C42" w:rsidRDefault="005C5FF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09.08.2023 17:00:00 по местному времени. </w:t>
            </w: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C42" w:rsidRDefault="005C5FF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66C42" w:rsidRDefault="00366C42"/>
        </w:tc>
        <w:tc>
          <w:tcPr>
            <w:tcW w:w="2535" w:type="dxa"/>
            <w:shd w:val="clear" w:color="auto" w:fill="auto"/>
            <w:vAlign w:val="bottom"/>
          </w:tcPr>
          <w:p w:rsidR="00366C42" w:rsidRDefault="00366C42"/>
        </w:tc>
        <w:tc>
          <w:tcPr>
            <w:tcW w:w="3315" w:type="dxa"/>
            <w:shd w:val="clear" w:color="auto" w:fill="auto"/>
            <w:vAlign w:val="bottom"/>
          </w:tcPr>
          <w:p w:rsidR="00366C42" w:rsidRDefault="00366C42"/>
        </w:tc>
        <w:tc>
          <w:tcPr>
            <w:tcW w:w="1125" w:type="dxa"/>
            <w:shd w:val="clear" w:color="auto" w:fill="auto"/>
            <w:vAlign w:val="bottom"/>
          </w:tcPr>
          <w:p w:rsidR="00366C42" w:rsidRDefault="00366C42"/>
        </w:tc>
        <w:tc>
          <w:tcPr>
            <w:tcW w:w="1275" w:type="dxa"/>
            <w:shd w:val="clear" w:color="auto" w:fill="auto"/>
            <w:vAlign w:val="bottom"/>
          </w:tcPr>
          <w:p w:rsidR="00366C42" w:rsidRDefault="00366C42"/>
        </w:tc>
        <w:tc>
          <w:tcPr>
            <w:tcW w:w="1470" w:type="dxa"/>
            <w:shd w:val="clear" w:color="auto" w:fill="auto"/>
            <w:vAlign w:val="bottom"/>
          </w:tcPr>
          <w:p w:rsidR="00366C42" w:rsidRDefault="00366C42"/>
        </w:tc>
        <w:tc>
          <w:tcPr>
            <w:tcW w:w="2100" w:type="dxa"/>
            <w:shd w:val="clear" w:color="auto" w:fill="auto"/>
            <w:vAlign w:val="bottom"/>
          </w:tcPr>
          <w:p w:rsidR="00366C42" w:rsidRDefault="00366C42"/>
        </w:tc>
        <w:tc>
          <w:tcPr>
            <w:tcW w:w="1995" w:type="dxa"/>
            <w:shd w:val="clear" w:color="auto" w:fill="auto"/>
            <w:vAlign w:val="bottom"/>
          </w:tcPr>
          <w:p w:rsidR="00366C42" w:rsidRDefault="00366C42"/>
        </w:tc>
        <w:tc>
          <w:tcPr>
            <w:tcW w:w="1650" w:type="dxa"/>
            <w:shd w:val="clear" w:color="auto" w:fill="auto"/>
            <w:vAlign w:val="bottom"/>
          </w:tcPr>
          <w:p w:rsidR="00366C42" w:rsidRDefault="00366C42"/>
        </w:tc>
        <w:tc>
          <w:tcPr>
            <w:tcW w:w="1905" w:type="dxa"/>
            <w:shd w:val="clear" w:color="auto" w:fill="auto"/>
            <w:vAlign w:val="bottom"/>
          </w:tcPr>
          <w:p w:rsidR="00366C42" w:rsidRDefault="00366C42"/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C42" w:rsidRDefault="005C5FF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6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66C42" w:rsidRDefault="005C5FFA"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5C5FF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C42"/>
    <w:rsid w:val="00366C42"/>
    <w:rsid w:val="005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002"/>
  <w15:docId w15:val="{BC7F3903-55E4-48C9-8B09-0EB4803A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2</cp:revision>
  <dcterms:created xsi:type="dcterms:W3CDTF">2023-08-04T02:22:00Z</dcterms:created>
  <dcterms:modified xsi:type="dcterms:W3CDTF">2023-08-04T02:23:00Z</dcterms:modified>
</cp:coreProperties>
</file>