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308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6459"/>
        <w:gridCol w:w="660"/>
        <w:gridCol w:w="752"/>
        <w:gridCol w:w="858"/>
        <w:gridCol w:w="1228"/>
        <w:gridCol w:w="1175"/>
        <w:gridCol w:w="977"/>
        <w:gridCol w:w="1123"/>
        <w:gridCol w:w="426"/>
        <w:gridCol w:w="1492"/>
        <w:gridCol w:w="6885"/>
        <w:gridCol w:w="660"/>
        <w:gridCol w:w="752"/>
        <w:gridCol w:w="858"/>
        <w:gridCol w:w="1228"/>
        <w:gridCol w:w="1175"/>
        <w:gridCol w:w="977"/>
        <w:gridCol w:w="1123"/>
      </w:tblGrid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6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RPr="00AD7D0F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Pr="00AD7D0F" w:rsidRDefault="00AD7D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7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D7D0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D7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D7D0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D7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D7D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96A4C" w:rsidRPr="00AD7D0F" w:rsidRDefault="00096A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Pr="00AD7D0F" w:rsidRDefault="00096A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Pr="00AD7D0F" w:rsidRDefault="00096A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Pr="00AD7D0F" w:rsidRDefault="00096A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Pr="00AD7D0F" w:rsidRDefault="00096A4C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Pr="00AD7D0F" w:rsidRDefault="00096A4C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Pr="00AD7D0F" w:rsidRDefault="00096A4C">
            <w:pPr>
              <w:rPr>
                <w:szCs w:val="16"/>
                <w:lang w:val="en-US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 г. №.1136-2022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8505" w:type="dxa"/>
            <w:gridSpan w:val="3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96A4C" w:rsidRDefault="00096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75"/>
        </w:trPr>
        <w:tc>
          <w:tcPr>
            <w:tcW w:w="12003" w:type="dxa"/>
            <w:gridSpan w:val="7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75"/>
        </w:trPr>
        <w:tc>
          <w:tcPr>
            <w:tcW w:w="15278" w:type="dxa"/>
            <w:gridSpan w:val="10"/>
            <w:shd w:val="clear" w:color="auto" w:fill="auto"/>
            <w:vAlign w:val="bottom"/>
          </w:tcPr>
          <w:p w:rsidR="00096A4C" w:rsidRDefault="00AD7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6A4C" w:rsidRDefault="00AD7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носовая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уплотнительная, дл. 10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1.5 см, высота 2.5 см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уплотнительные носовые вкладки (носовой тампон) изготовлены из пористой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оксицеллюлозы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Длина 10 см, ширина 1.5 см, высота 2.5 см. с нитью для удале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 Материал: медицинский силикон, встроенная трубка для дыхания, раздувные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манжеты:  одна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стопорное кольцо, губчатый тампон Возможность извлечения трубки для дыхания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носовая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уплотнительная, дл. 5.5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1.5 </w:t>
            </w:r>
            <w:r>
              <w:rPr>
                <w:rFonts w:ascii="Times New Roman" w:hAnsi="Times New Roman"/>
                <w:sz w:val="24"/>
                <w:szCs w:val="24"/>
              </w:rPr>
              <w:t>см, высота 2.5 см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уплотнительные носовые вкладки (носовой тампон) изготовлены из пористой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оксицеллюлозы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Впитывающая способность, собственных объемов,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раз,: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Крахмал в составе тампона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отсутсвует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Длина: 55 мм Толщина: 15 мм Высота: 25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Тампон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нитью для извлечения.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5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носовая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уплотнительная, дл. 7.7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см, высота 3.3 см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уплотнительные носовые вкладки (носовой тампон)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изготовлены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оксицеллюлозы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Материал: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 чистый поливиниловый спирт. Впитывающая способность, собственных объемов, раз: 21 Крахмал в составе тампона отсутствует Пропитка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карбоксиметилцеллюлозой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дополнительного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эффекта. Длина: 77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Толщтна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 мм Высота: 33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нит</w:t>
            </w:r>
            <w:r>
              <w:rPr>
                <w:rFonts w:ascii="Times New Roman" w:hAnsi="Times New Roman"/>
                <w:sz w:val="24"/>
                <w:szCs w:val="24"/>
              </w:rPr>
              <w:t>ью для извлечения.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носовая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уплотнительная, дл. 8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1.5 см, высота 3 см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уплотнительные носовые вкладки (носовой тампон)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изготовлены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оксицеллюлозы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 Впитывающая способность,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собственных объемов, раз: 21 Длина: 80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Толщтна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15 мм. Высота: 30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нитью для извлечения.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рассасывающаяся 7 см x 5 см x 1 см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Рассасывающаяся стерильная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губка на основе свиного желатина, со сроками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рассасывания 4-6 недель, размером не менее 7 см x 5 см x 1 см. Каждая в индивидуальной стерильной упаковке. Хранится при температуре 15℃ - 30℃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гортанное стерильное одноразовое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(22 мм)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гортанное стерильное одноразовое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оториноларингологии для осмотра внутренней поверхности гортани и полости рта. Изготовлено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акрилнитрилбутадиенстирола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- который не раздражает слизистую оболочку. Длина: ручки 200 мм. Диаметр 22 мм (</w:t>
            </w:r>
            <w:r>
              <w:rPr>
                <w:rFonts w:ascii="Times New Roman" w:hAnsi="Times New Roman"/>
                <w:sz w:val="24"/>
                <w:szCs w:val="24"/>
              </w:rPr>
              <w:t>размер М). Срок годности: (стерильности): не менее 5 лет.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кожный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октилцианоакрилата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ручке-аппликаторе 0,5 мл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Стерильный жидкий кожный клей для местного нанесения, на основе 2 -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октилцианоакрилата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окрашенный для контроля </w:t>
            </w:r>
            <w:r>
              <w:rPr>
                <w:rFonts w:ascii="Times New Roman" w:hAnsi="Times New Roman"/>
                <w:sz w:val="24"/>
                <w:szCs w:val="24"/>
              </w:rPr>
              <w:t>нанесения, действующее вещество находится в ручке-аппликаторе; по 0,5 мл, время полной полимеризации 5 минут, для закрытия разреза 12 - 15см.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Пластырь медицинский фиксирующий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Круосилк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2,5х500см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Пластырь рулонный на катушке адгезивный для </w:t>
            </w:r>
            <w:r>
              <w:rPr>
                <w:rFonts w:ascii="Times New Roman" w:hAnsi="Times New Roman"/>
                <w:sz w:val="24"/>
                <w:szCs w:val="24"/>
              </w:rPr>
              <w:t>фиксации повязок и мед. устройств, на шелковой основе, для нормального типа кожи. Размер 2,5 х500см.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15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рассывающийся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Серджисел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Фибриллар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10,2 х 10,2 см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Стерильный местный рассасывающийся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монокомпонентный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на основе окисленной регенерированной целлюлозы растительного происхождения в виде семислойной нетканой волокнистой структуры, позволяющей моделировать размер и форму фрагмента, для остановки капиллярных, венозных и слабых артериа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кровотечений. При контакте материала с кровью создается кислая среда (РН 2,5-3), которая усиливает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свойства. Благодаря кислотному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создается неблагоприятная среда для роста и развития подавляющего количества микроорганиз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мов: обладает доказанным бактерицидным эффектом против 5 основных штаммов патогенов, вызывающих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нозокомиальные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(устойчивый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метициллину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устойчивый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метициллину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epidermidis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устойчивый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ванкомицину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Enterococ</w:t>
            </w:r>
            <w:r>
              <w:rPr>
                <w:rFonts w:ascii="Times New Roman" w:hAnsi="Times New Roman"/>
                <w:sz w:val="24"/>
                <w:szCs w:val="24"/>
              </w:rPr>
              <w:t>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faecium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Escherichia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Pseudomonas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aeruginosa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против  широкого спектра грамположительных и грамотрицательных микроорганизмов включая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антибиотикоустойчивые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штаммы MRSA, MRSE, PRSP, VRE. Возможность проведения электрокоагуляции 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10.2 см x 10.2 см.  Каждая штука в индивидуальной стерильной упаковке. Хранение при комнатной температуре, не ниже 15℃ в течение всего срока годности.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воронок ушных, одноразовый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Ушные воронки </w:t>
            </w:r>
            <w:r>
              <w:rPr>
                <w:rFonts w:ascii="Times New Roman" w:hAnsi="Times New Roman"/>
                <w:sz w:val="24"/>
                <w:szCs w:val="24"/>
              </w:rPr>
              <w:t>одноразовые стерильные предназначены в основном для осмотра наружного слухового прохода и барабанной перепонки. Для облегчения осмотра применяют ушные воронки различных размеров в зависимости от ширины слухового прохода. Размер 2,5 и 4,0.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9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оториноларингологический, одноразовый, стерильный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оториноларингологический предназначен для проведения диагностических манипуляций и лечебных процедур. Идеально подходит для проведения выездных профилактических медицинских осмотров. Состав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абора: воронка ушная (диаметр 4,0 мм и 4,6 мм) —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зеркало носовое —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зеркало гортанное (диаметр 15 мм и 21 мм) —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палочка – тампон дерево – хлопок длина 150 мм —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палочка – тампон пластик – хлопок длина 150 мм —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пинцет оторинолари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нгологический изогнутый —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салфетка – нагрудник —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шпатель пластиковый — 1 шт. Индивидуальная пластиковая упаковка на жестком лотке, не требующая использования ножниц при вскрытии. Набор стерильный (стерилизован оксидом этилена), для однократного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применения. Срок годности не менее четырех лет.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Повязка рулонная 6 х 1000 см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основе, нестерильная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Адгезивная рулонная нестерильная повязка для сплошной фиксации повязок, в том числе объемных абсорбирующих повязок,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нетканой основе для повышенной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влагопроницаемости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нанесением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акрилатного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Размер 6 х 1000 см.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9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10 х 6 см №25 стерильная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Самоклеящаяся повязка на рану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мягкого нетканого материала с впитывающей подушечкой,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неприклеивающейся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ране. Основа повязки: нетканый синтетический материал. Раневая подушка: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абсорбирующая вискоза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микросеткой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неприлипающего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 материала. Клеевая основа: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синтетический клей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каучуковой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основе, не содержит канифоли. Покрытие повязки: покрыта силиконовой бумагой. Вес подушечки на метр2 - минимум 114 г. Впитывающая способность подушки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кв.м.масса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м² . Масса основы на м2 - примерно 78 г, клеящая </w:t>
            </w:r>
            <w:r>
              <w:rPr>
                <w:rFonts w:ascii="Times New Roman" w:hAnsi="Times New Roman"/>
                <w:sz w:val="24"/>
                <w:szCs w:val="24"/>
              </w:rPr>
              <w:t>сила мин. 13 Н/25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 сетчатая мазевая 10 х 10 см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Повязка сетчатая, мазевая,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стерильная,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импрегнированная,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гидрофобной основе, не прилипает к ране.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 х 10см.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5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тимпанопластики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"Тюбинген",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вариационный.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Головн.пластина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2,6*3,6*0,22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диам.стержня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дл.протеза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1,7 до 4,5 мм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состоит из головной части с ассиметрично закрепленным на ней стержнем. Головная пластина 2,6*3,6*0,22 мм, диаметр стержня 0,2 мм. длина протеза варьируется от 1,75 до 4,5 мм. Сторона головной части, обращенная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барабанной перепонке имеет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шаршавую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поверхность. На конце стержня находится колокольчик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черырьмя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прорезями, который устанавливается на стремечко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слуховых косточек КУРЦ с фиксирован длиной,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0,4 мм, дл. 4,25 мм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на одном конце протеза петля для фиксации на наковальне, на другом колба с закругленными краями, диаметром 0,4 мм, длина всего протеза 4,25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тимпанопластики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"Тюбинген",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вариационный.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Головн.пластина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2,6*3,6*0,22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диам.стержня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дл.протеза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3,00 до 7,00 мм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состоит из головной пластины специальной овальной формы с 2 спицами, для зажима ножки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имплантат  внутри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головной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стины. Головная пластина 2,6*3,6*0,22 мм, диаметр стержня 0,2 мм. Диапазон изменения длины 3,00 до 7,00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интервал  шага 0,25 мм. , пустотелая концевая гильза с наружным диаметром 0,8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мм.Сторона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головной части, обращенная,  к барабанной перепонке, имее</w:t>
            </w:r>
            <w:r>
              <w:rPr>
                <w:rFonts w:ascii="Times New Roman" w:hAnsi="Times New Roman"/>
                <w:sz w:val="24"/>
                <w:szCs w:val="24"/>
              </w:rPr>
              <w:t>т шершавую поверхность. Укомплектованы мерной системой с симуляторами имплантата.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6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манжеты в наборе с двумя внутренними канюлями, размер 8,0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термопластичного ПВХ,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конической формы и анатомическим изгибом 90 град., цветовая кодировка для быстроты подбора, мягкий, прозрачный фланец с маркировкой размера, две сменные внутренние канюли из ПВХ с цветовой кодировкой размера. В наборе направляющая крышка, фонационный клапа</w:t>
            </w:r>
            <w:r>
              <w:rPr>
                <w:rFonts w:ascii="Times New Roman" w:hAnsi="Times New Roman"/>
                <w:sz w:val="24"/>
                <w:szCs w:val="24"/>
              </w:rPr>
              <w:t>н, коннектор на 15 мм, шейная лента для фиксации. Внутренний диаметр 8,0 мм, внешний 9,3/11,9 мм на дистальном и проксимальном концах трубки соответственно. Длина 70,6 мм. Без латекса. Стерильная индивидуальная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6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манжеты в наборе с двумя внутренними канюлями, размер 7,0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термопластичного ПВХ,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конической формы и анатомическим изгибом 90 град., цветовая кодировка для быстроты подбора, мягкий, прозра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чный фланец с маркировкой размера, две сменные внутренние канюли из ПВХ с цветовой кодировкой размера. В наборе - направляющая крышка, фонационный клапан, коннектор 15 мм, шейная лента для фиксации. Внутренний диаметр 7,0 мм, внешний 8.0±0,2/10.70±0,15 мм </w:t>
            </w:r>
            <w:r>
              <w:rPr>
                <w:rFonts w:ascii="Times New Roman" w:hAnsi="Times New Roman"/>
                <w:sz w:val="24"/>
                <w:szCs w:val="24"/>
              </w:rPr>
              <w:t>на дистальном и проксимальном концах трубки соответственно. Длина 62±2 мм. Без латекса. Стерильная индивидуальная упаковка.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7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размер 3,0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назальной и оральной интубации. Изготовлена из ПВХ,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устойчива к перегибам, не содержит латекса, с манжетой низкого давления. Голубой пилот-баллон с клапаном для шприцев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Луер-Лок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-маркер по всей длине трубки, черный индикатор 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убации по всей окружности трубки, разметка c шагом 1 см, закругленный атравматический наконечник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Наполовину вставленный коннектор. Внутренний диаметр 3.0 мм, внешний диаметр 5.0, диаметр манжеты 8 мм, длина трубки без коннектора 170 мм. Без лате</w:t>
            </w:r>
            <w:r>
              <w:rPr>
                <w:rFonts w:ascii="Times New Roman" w:hAnsi="Times New Roman"/>
                <w:sz w:val="24"/>
                <w:szCs w:val="24"/>
              </w:rPr>
              <w:t>кса. Стерильная индивидуальная упаковка.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7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размер 3,5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назальной и оральной интубации. Изготовлена из ПВХ,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перегибам, не содержит латекса, с манжетой низкого давления. Голубой пилот-баллон с клапаном для шприцев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Луер-Лок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-маркер по всей длине трубки, черный индикатор интубации по всей окружности трубки, разметка c шагом 1 см, закругленный атравматичес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наконечник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Наполовину вставленный коннектор. Внутренний диаметр 3.5 мм, внешний диаметр 5.3, диаметр манжеты 8 мм, длина трубки без коннектора 190 мм. Без латекса. Стерильная индивидуальная упаковка.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7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манжетой, размер 4,0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назальной и оральной интубации. Изготовлена из ПВХ,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устойчива к перегибам, не содержит латекса, с манжетой низкого давления. Голубой пилот-баллон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клапаном для шприцев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Луер-Лок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-маркер по всей длине трубки, черный индикатор интубации по всей окружности трубки, разметка c шагом 1 см, закругленный атравматический наконечник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Наполовину вставленный коннектор. Внутренний диаметр 4,0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внешний диаметр 6,0 мм, диаметр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манжеты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 мм, длина трубки без коннектора 220 мм. Без латекса. Стерильная индивидуальная упаковка.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7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размер 4,5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назальной и оральной интубации. Изготовлена из ПВХ,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устойчива к перегибам, не содержит латекса, с манжетой низкого давления. Голубой пилот-баллон с клапаном для шприцев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Луер-Лок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-маркер по всей длине трубки,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черный индикатор интубации по всей окружности трубки, разметка c шагом 1 см, закругленный атравматический наконечник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Наполовину вставленный коннектор. Внутренний диаметр 4,5 мм, внешний диаметр 6,3, диаметр манжеты 10,5 мм, длина трубки без конн</w:t>
            </w:r>
            <w:r>
              <w:rPr>
                <w:rFonts w:ascii="Times New Roman" w:hAnsi="Times New Roman"/>
                <w:sz w:val="24"/>
                <w:szCs w:val="24"/>
              </w:rPr>
              <w:t>ектора 230 мм. Без латекса. Стерильная индивидуальная упаковка.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7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размер 5,0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трубка из термопластичного ПВХ для назальной и оральной интубации,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содержит латекса. Манжетка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низкого давления, голубой пилот-баллон, клапан для шприцев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-маркер по всей длине трубки, черный индикатор интубации по всей окружности трубки, разметка c шагом 1 см, закругленный атравматический наконечник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атравматическим о</w:t>
            </w:r>
            <w:r>
              <w:rPr>
                <w:rFonts w:ascii="Times New Roman" w:hAnsi="Times New Roman"/>
                <w:sz w:val="24"/>
                <w:szCs w:val="24"/>
              </w:rPr>
              <w:t>вальным окошком, с гладкими закругленными краями, наполовину вставленный коннектор. Внутренний диаметр 5.0 мм, внешний диаметр 6.7 мм, диаметр манжеты 13 мм, длина трубки без коннектора - 250±5 мм. Без латекса. Стерильная индивидуальная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6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размер 5,5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трубка из термопластичного ПВХ для назальной и оральной интубации,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содержит латекса. Манжетка низкого давления, голубой пилот-баллон, клапан для шприцев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-маркер по всей длине трубки, черный индикатор интубации по всей окружности трубки, разметка c шагом 1 см, закругленный атравматический наконечник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Mерфи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атравматическим овальным окошком, с гладкими закругленными краями, наполовину вставленны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коннектор. Внутренний диаметр 5.5 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латекса. Стерильная индивидуальная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7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манжетой, размер 6,0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трубка из термопластичного ПВХ для назальной и оральной интубации,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содержит латекса. Манжетка низкого давления, голубой пилот-баллон, клапан для шприцев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-маркер по всей длине трубки, черный индикатор интубации по всей окружности трубки, разметка c шагом 1 см, закругленный атравматический наконечник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ерфи,с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атравматическим овальным окошком, с гладкими закругленными краями, наполовину вставленный коннектор. Внутренний диаметр 6.0 мм, внешний диаметр 8.0 мм, диаметр манжеты 18,5 мм, длина трубки без коннектора - 295±5 мм. Без латекса. Стерильная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 упаковка.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эндотрахеально-трахеостомическая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Т-образная силиконовая d 11/19 мм, длина 50/100/40 мм, одноразовая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из силикона одноразового применения с овальными отводящими отрезками, диаметрами внутреннего отрезка 11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наружного 19 мм, длиной отрезка над узлом разведения 50 мм, ниже угла разведения 100 мм и длиной отводящего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отрезка  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эндотрахеально-трахеостомическая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Т-образная силиконовая d 13/23 мм, длина 45/70/40 мм, одноразовая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Трубка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силикона одноразового применения с овальными отводящими отрезками, диаметрами внутреннего отрезка 13 мм, наружного 23 мм, длиной отрезка над узлом разведения 45 мм, ниже угла разведения 70 мм и длиной отводящего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отрезка  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Шунты </w:t>
            </w:r>
            <w:r>
              <w:rPr>
                <w:rFonts w:ascii="Times New Roman" w:hAnsi="Times New Roman"/>
                <w:sz w:val="24"/>
                <w:szCs w:val="24"/>
              </w:rPr>
              <w:t>тимпанальные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Tubingen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)-дренажные трубочки из титана.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),внутренний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1,25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мм,наружный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2,55мм,длина 1,6 мм. Гладкая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поверхность, биологически инертен, не вызывает реакцию отторжения. Упаковка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096A4C" w:rsidTr="00AD7D0F">
        <w:tblPrEx>
          <w:tblCellMar>
            <w:top w:w="0" w:type="dxa"/>
            <w:bottom w:w="0" w:type="dxa"/>
          </w:tblCellMar>
        </w:tblPrEx>
        <w:trPr>
          <w:gridAfter w:val="10"/>
          <w:wAfter w:w="15576" w:type="dxa"/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Шунты тимпанальные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Tubingen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)-дренажные трубочки из титана.</w:t>
            </w:r>
          </w:p>
        </w:tc>
        <w:tc>
          <w:tcPr>
            <w:tcW w:w="64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),внутренний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мм,наружный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2,8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мм.Гладкая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поверхность, биологически инертен, не </w:t>
            </w:r>
            <w:r>
              <w:rPr>
                <w:rFonts w:ascii="Times New Roman" w:hAnsi="Times New Roman"/>
                <w:sz w:val="24"/>
                <w:szCs w:val="24"/>
              </w:rPr>
              <w:t>вызывает реакцию отторжения. Упаковка 10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AD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6A4C" w:rsidRDefault="00096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6A4C" w:rsidRDefault="00096A4C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1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49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88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75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85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22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7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977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854" w:type="dxa"/>
            <w:gridSpan w:val="20"/>
            <w:vAlign w:val="bottom"/>
            <w:hideMark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контракта.</w:t>
            </w: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4" w:type="dxa"/>
            <w:gridSpan w:val="11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49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88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75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85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22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7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977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854" w:type="dxa"/>
            <w:gridSpan w:val="20"/>
            <w:vAlign w:val="bottom"/>
            <w:hideMark/>
          </w:tcPr>
          <w:p w:rsidR="00AD7D0F" w:rsidRDefault="00AD7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D0F" w:rsidRDefault="00AD7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Партизана Железняка, 3. </w:t>
            </w: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4" w:type="dxa"/>
            <w:gridSpan w:val="11"/>
            <w:vAlign w:val="bottom"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vAlign w:val="bottom"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5" w:type="dxa"/>
            <w:vAlign w:val="bottom"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vAlign w:val="bottom"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bottom"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vAlign w:val="bottom"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977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854" w:type="dxa"/>
            <w:gridSpan w:val="20"/>
            <w:vAlign w:val="bottom"/>
            <w:hideMark/>
          </w:tcPr>
          <w:p w:rsidR="00AD7D0F" w:rsidRDefault="00AD7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</w:t>
            </w:r>
          </w:p>
          <w:p w:rsidR="00AD7D0F" w:rsidRDefault="00AD7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5704" w:type="dxa"/>
            <w:gridSpan w:val="11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49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88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75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85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22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7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977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854" w:type="dxa"/>
            <w:gridSpan w:val="20"/>
            <w:vAlign w:val="bottom"/>
            <w:hideMark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4" w:type="dxa"/>
            <w:gridSpan w:val="11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49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88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75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85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22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7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977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854" w:type="dxa"/>
            <w:gridSpan w:val="20"/>
            <w:vAlign w:val="bottom"/>
            <w:hideMark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4" w:type="dxa"/>
            <w:gridSpan w:val="11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49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88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75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85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22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7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977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4" w:type="dxa"/>
            <w:gridSpan w:val="11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49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88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75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85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22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7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977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4" w:type="dxa"/>
            <w:gridSpan w:val="11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49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88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752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85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228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75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977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AD7D0F" w:rsidRDefault="00AD7D0F">
            <w:pPr>
              <w:rPr>
                <w:szCs w:val="16"/>
              </w:rPr>
            </w:pP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854" w:type="dxa"/>
            <w:gridSpan w:val="20"/>
            <w:vAlign w:val="bottom"/>
            <w:hideMark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D7D0F" w:rsidTr="00AD7D0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854" w:type="dxa"/>
            <w:gridSpan w:val="20"/>
            <w:vAlign w:val="bottom"/>
            <w:hideMark/>
          </w:tcPr>
          <w:p w:rsidR="00AD7D0F" w:rsidRDefault="00AD7D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D7D0F" w:rsidRDefault="00AD7D0F" w:rsidP="00AD7D0F"/>
    <w:p w:rsidR="00000000" w:rsidRDefault="00AD7D0F"/>
    <w:sectPr w:rsidR="00000000" w:rsidSect="00AD7D0F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A4C"/>
    <w:rsid w:val="00096A4C"/>
    <w:rsid w:val="00A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99AB-6E68-4A1B-BBA0-1A85234C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2550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2022-07-25T11:27:00Z</dcterms:created>
  <dcterms:modified xsi:type="dcterms:W3CDTF">2022-07-25T11:30:00Z</dcterms:modified>
</cp:coreProperties>
</file>