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autofit"/>
        <w:tblCellMar>
          <w:top w:w="0" w:type="dxa"/>
          <w:left w:w="28" w:type="dxa"/>
          <w:bottom w:w="0" w:type="dxa"/>
          <w:right w:w="28" w:type="dxa"/>
        </w:tblCellMar>
        <w:tblLook w:val="04A0"/>
      </w:tblPr>
      <w:tblGrid>
        <w:gridCol w:w="945"/>
        <w:gridCol w:w="2533"/>
        <w:gridCol w:w="3321"/>
        <w:gridCol w:w="1116"/>
        <w:gridCol w:w="1286"/>
        <w:gridCol w:w="1470"/>
        <w:gridCol w:w="2087"/>
        <w:gridCol w:w="1995"/>
        <w:gridCol w:w="1654"/>
        <w:gridCol w:w="1903"/>
      </w:tblGrid>
      <w:tr>
        <w:trPr>
          <w:trHeight w:val="60" w:hRule="atLeast"/>
        </w:trPr>
        <w:tc>
          <w:tcPr>
            <w:tcW w:w="6799" w:type="dxa"/>
            <w:gridSpan w:val="3"/>
            <w:shd w:val="clear" w:color="FFFFFF"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textDirection w:val="lrTb"/>
            <w:vAlign w:val="bottom"/>
          </w:tcPr>
          <w:p>
            <w:pPr>
              <w:jc w:val="left"/>
              <w:rPr>
                <w:rFonts w:ascii="Times New Roman" w:hAnsi="Times New Roman"/>
                <w:sz w:val="24"/>
                <w:szCs w:val="24"/>
              </w:rPr>
            </w:pPr>
          </w:p>
        </w:tc>
        <w:tc>
          <w:tcPr>
            <w:tcW w:w="2756" w:type="dxa"/>
            <w:gridSpan w:val="2"/>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23.08.2021 г. №.1136-2021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2758" w:type="dxa"/>
            <w:gridSpan w:val="7"/>
            <w:shd w:val="clear" w:color="FFFFFF"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Остаточный срок годности</w:t>
            </w: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ОКПД2\КТРУ</w:t>
            </w: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Код вида МИ</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Полый риммер, д.3,5, длина 70mm</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Фреза для высверливания костной ткани. Представляет из себя полый цилиндр, одна сторона режущая, на второй внутри резьбовая нарезка на глубину 10мм для соединения с направителем. Длина 70мм, общий диаметр 6,5мм. Диаметр внутреннего отверстия 4,6мм. Материал: нержавеющая сталь.</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Направитель для полого риммера, д. 3,5</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Направитель для режущей фрезы. Представляет из себя стержень, на одной строне нарезана резьба для соединения с фрезой, на второй стороне наконечник для быстрого соединения АО. Длина 68мм, диаметр 6,5мм. Материал: нержавеющая сталь.</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Центрирующий штифт для полой развертки, д.3.5</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Центрирующий направитель для режущей фрезы. Представляет из себя стержень с резьбой 3,5 на окончании для фиксации на месте обломанного фрагмента винта. Длина 88мм, диаметр 4,5мм. Длина резьбовой части 10мм. Материал: нержавеющая сталь.</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Экстракционный винт д.2,5 большой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Инструмент для извлечения винтов с нарушенным шлицом 2,5мм.. Представляет из себя стержень, на одной строне которого нарезана коническая левая резьба, на второй стороне наконечник для быстрого соединения АО. Длина 60мм, диаметр 7мм, длина конической резьбы 10мм. Материал: нержавеющая сталь</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Экстракционный винт д.3,5</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Инструмент для извлечения винтов с нарушенным шлицом 3,5мм.. Представляет из себя стержень, на одной строне которого нарезана коническая левая резьба, на второй стороне наконечник для быстрого соединения АО. Длина 60мм, диаметр 7мм, дина конической резьбы 8мм. Материал: нержавеющая сталь</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Центрирующий штифт для полой развертки, д.4.5</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Центрирующий направитель для режущей фрезы. Представляет из себя стержень с резьбой 4,5 на окончании для фиксации на месте обломанного фрагмента винта. Длина 88мм, диаметр 5мм. Длина резьбовой части 10мм. Материал: нержавеющая сталь.</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Направитель для полого риммера, д. 4,5</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Направитель для режущей фрезы. Представляет из себя стержень, на одной строне нарезана резьба для соединения с фрезой, на второй стороне наконечник для быстрого соединения АО. Длина 68мм, диаметр 7мм. Материал: нержавеющая сталь.</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Полый риммер, д.4,5, длина 70mm</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Фреза для высверливания костной ткани. Представляет из себя полый цилиндр, одна сторона режущая, на второй внутри резьбовая нарезка на глубину 10мм для соединения с направителем. Длина 70мм, общий диаметр 7мм. Диаметр внутреннего отверстия 5,1мм. Материал: нержавеющая сталь.</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Экстрактор сломанных винтов д.3,5</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Экстрактор для извлечения винта 3,5мм с отломанной шляпкой. Представляет из себя цилиндр, одна сторона которого с внутренней цилиндрической левой резьбой глубиной 8мм, на второй стороне наконечник для быстрого соединения АО. Длина 70мм, общий диаметр 7мм. Материал: нержавеющая сталь.</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Экстрактор сломанных винтов д.4,5</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Экстрактор для извлечения винта 4,5мм с отломанной шляпкой. Представляет из себя цилиндр, одна сторона которого с внутренней цилиндрической левой резьбой глубиной 10мм, на второй стороне наконечник для быстрого соединения АО. Длина 70мм, общий диаметр 7мм. Материал: нержавеющая сталь.</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375"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в течение 30 календарных дней.</w:t>
            </w:r>
          </w:p>
        </w:tc>
      </w:tr>
      <w:tr>
        <w:trPr>
          <w:trHeight w:val="12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atLeast"/>
        </w:trPr>
        <w:tc>
          <w:tcPr>
            <w:tcW w:w="945" w:type="dxa"/>
            <w:shd w:val="clear" w:color="FFFFFF" w:fill="auto"/>
            <w:textDirection w:val="lrTb"/>
            <w:vAlign w:val="bottom"/>
          </w:tcPr>
          <w:p>
            <w:pPr>
              <w:wordWrap w:val="1"/>
              <w:jc w:val="left"/>
              <w:rPr>
                <w:rFonts w:ascii="Times New Roman" w:hAnsi="Times New Roman"/>
                <w:sz w:val="28"/>
                <w:szCs w:val="28"/>
              </w:rPr>
            </w:pPr>
          </w:p>
        </w:tc>
        <w:tc>
          <w:tcPr>
            <w:tcW w:w="2533" w:type="dxa"/>
            <w:shd w:val="clear" w:color="FFFFFF" w:fill="auto"/>
            <w:textDirection w:val="lrTb"/>
            <w:vAlign w:val="bottom"/>
          </w:tcPr>
          <w:p>
            <w:pPr>
              <w:wordWrap w:val="1"/>
              <w:jc w:val="left"/>
              <w:rPr>
                <w:rFonts w:ascii="Times New Roman" w:hAnsi="Times New Roman"/>
                <w:sz w:val="28"/>
                <w:szCs w:val="28"/>
              </w:rPr>
            </w:pPr>
          </w:p>
        </w:tc>
        <w:tc>
          <w:tcPr>
            <w:tcW w:w="3321" w:type="dxa"/>
            <w:shd w:val="clear" w:color="FFFFFF" w:fill="auto"/>
            <w:textDirection w:val="lrTb"/>
            <w:vAlign w:val="bottom"/>
          </w:tcPr>
          <w:p>
            <w:pPr>
              <w:wordWrap w:val="1"/>
              <w:jc w:val="left"/>
              <w:rPr>
                <w:rFonts w:ascii="Times New Roman" w:hAnsi="Times New Roman"/>
                <w:sz w:val="28"/>
                <w:szCs w:val="28"/>
              </w:rPr>
            </w:pPr>
          </w:p>
        </w:tc>
        <w:tc>
          <w:tcPr>
            <w:tcW w:w="1116" w:type="dxa"/>
            <w:shd w:val="clear" w:color="FFFFFF" w:fill="auto"/>
            <w:textDirection w:val="lrTb"/>
            <w:vAlign w:val="bottom"/>
          </w:tcPr>
          <w:p>
            <w:pPr>
              <w:wordWrap w:val="1"/>
              <w:jc w:val="left"/>
              <w:rPr>
                <w:rFonts w:ascii="Times New Roman" w:hAnsi="Times New Roman"/>
                <w:sz w:val="28"/>
                <w:szCs w:val="28"/>
              </w:rPr>
            </w:pPr>
          </w:p>
        </w:tc>
        <w:tc>
          <w:tcPr>
            <w:tcW w:w="1286" w:type="dxa"/>
            <w:shd w:val="clear" w:color="FFFFFF" w:fill="auto"/>
            <w:textDirection w:val="lrTb"/>
            <w:vAlign w:val="bottom"/>
          </w:tcPr>
          <w:p>
            <w:pPr>
              <w:wordWrap w:val="1"/>
              <w:jc w:val="left"/>
              <w:rPr>
                <w:rFonts w:ascii="Times New Roman" w:hAnsi="Times New Roman"/>
                <w:sz w:val="28"/>
                <w:szCs w:val="28"/>
              </w:rPr>
            </w:pPr>
          </w:p>
        </w:tc>
        <w:tc>
          <w:tcPr>
            <w:tcW w:w="1470" w:type="dxa"/>
            <w:shd w:val="clear" w:color="FFFFFF" w:fill="auto"/>
            <w:textDirection w:val="lrTb"/>
            <w:vAlign w:val="bottom"/>
          </w:tcPr>
          <w:p>
            <w:pPr>
              <w:wordWrap w:val="1"/>
              <w:jc w:val="left"/>
              <w:rPr>
                <w:rFonts w:ascii="Times New Roman" w:hAnsi="Times New Roman"/>
                <w:sz w:val="28"/>
                <w:szCs w:val="28"/>
              </w:rPr>
            </w:pPr>
          </w:p>
        </w:tc>
        <w:tc>
          <w:tcPr>
            <w:tcW w:w="2087" w:type="dxa"/>
            <w:shd w:val="clear" w:color="FFFFFF" w:fill="auto"/>
            <w:textDirection w:val="lrTb"/>
            <w:vAlign w:val="bottom"/>
          </w:tcPr>
          <w:p>
            <w:pPr>
              <w:wordWrap w:val="1"/>
              <w:jc w:val="left"/>
              <w:rPr>
                <w:rFonts w:ascii="Times New Roman" w:hAnsi="Times New Roman"/>
                <w:sz w:val="28"/>
                <w:szCs w:val="28"/>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atLeast"/>
        </w:trPr>
        <w:tc>
          <w:tcPr>
            <w:tcW w:w="945" w:type="dxa"/>
            <w:shd w:val="clear" w:color="FFFFFF" w:fill="auto"/>
            <w:textDirection w:val="lrTb"/>
            <w:vAlign w:val="bottom"/>
          </w:tcPr>
          <w:p>
            <w:pPr>
              <w:jc w:val="left"/>
              <w:rPr>
                <w:rFonts w:ascii="Arial" w:hAnsi="Arial"/>
                <w:sz w:val="16"/>
                <w:szCs w:val="16"/>
              </w:rPr>
            </w:pPr>
          </w:p>
        </w:tc>
        <w:tc>
          <w:tcPr>
            <w:tcW w:w="2533" w:type="dxa"/>
            <w:shd w:val="clear" w:color="FFFFFF" w:fill="auto"/>
            <w:textDirection w:val="lrTb"/>
            <w:vAlign w:val="bottom"/>
          </w:tcPr>
          <w:p>
            <w:pPr>
              <w:jc w:val="left"/>
              <w:rPr>
                <w:rFonts w:ascii="Arial" w:hAnsi="Arial"/>
                <w:sz w:val="16"/>
                <w:szCs w:val="16"/>
              </w:rPr>
            </w:pPr>
          </w:p>
        </w:tc>
        <w:tc>
          <w:tcPr>
            <w:tcW w:w="3321" w:type="dxa"/>
            <w:shd w:val="clear" w:color="FFFFFF" w:fill="auto"/>
            <w:textDirection w:val="lrTb"/>
            <w:vAlign w:val="bottom"/>
          </w:tcPr>
          <w:p>
            <w:pPr>
              <w:jc w:val="left"/>
              <w:rPr>
                <w:rFonts w:ascii="Arial" w:hAnsi="Arial"/>
                <w:sz w:val="16"/>
                <w:szCs w:val="16"/>
              </w:rPr>
            </w:pPr>
          </w:p>
        </w:tc>
        <w:tc>
          <w:tcPr>
            <w:tcW w:w="1116" w:type="dxa"/>
            <w:shd w:val="clear" w:color="FFFFFF" w:fill="auto"/>
            <w:textDirection w:val="lrTb"/>
            <w:vAlign w:val="bottom"/>
          </w:tcPr>
          <w:p>
            <w:pPr>
              <w:jc w:val="left"/>
              <w:rPr>
                <w:rFonts w:ascii="Arial" w:hAnsi="Arial"/>
                <w:sz w:val="16"/>
                <w:szCs w:val="16"/>
              </w:rPr>
            </w:pPr>
          </w:p>
        </w:tc>
        <w:tc>
          <w:tcPr>
            <w:tcW w:w="1286" w:type="dxa"/>
            <w:shd w:val="clear" w:color="FFFFFF" w:fill="auto"/>
            <w:textDirection w:val="lrTb"/>
            <w:vAlign w:val="bottom"/>
          </w:tcPr>
          <w:p>
            <w:pPr>
              <w:jc w:val="left"/>
              <w:rPr>
                <w:rFonts w:ascii="Arial" w:hAnsi="Arial"/>
                <w:sz w:val="16"/>
                <w:szCs w:val="16"/>
              </w:rPr>
            </w:pPr>
          </w:p>
        </w:tc>
        <w:tc>
          <w:tcPr>
            <w:tcW w:w="1470" w:type="dxa"/>
            <w:shd w:val="clear" w:color="FFFFFF" w:fill="auto"/>
            <w:textDirection w:val="lrTb"/>
            <w:vAlign w:val="bottom"/>
          </w:tcPr>
          <w:p>
            <w:pPr>
              <w:jc w:val="left"/>
              <w:rPr>
                <w:rFonts w:ascii="Arial" w:hAnsi="Arial"/>
                <w:sz w:val="16"/>
                <w:szCs w:val="16"/>
              </w:rPr>
            </w:pPr>
          </w:p>
        </w:tc>
        <w:tc>
          <w:tcPr>
            <w:tcW w:w="2087" w:type="dxa"/>
            <w:shd w:val="clear" w:color="FFFFFF" w:fill="auto"/>
            <w:textDirection w:val="lrTb"/>
            <w:vAlign w:val="bottom"/>
          </w:tcPr>
          <w:p>
            <w:pPr>
              <w:jc w:val="left"/>
              <w:rPr>
                <w:rFonts w:ascii="Arial" w:hAnsi="Arial"/>
                <w:sz w:val="16"/>
                <w:szCs w:val="16"/>
              </w:rPr>
            </w:pPr>
          </w:p>
        </w:tc>
        <w:tc>
          <w:tcPr>
            <w:tcW w:w="1995" w:type="dxa"/>
            <w:shd w:val="clear" w:color="FFFFFF" w:fill="auto"/>
            <w:textDirection w:val="lrTb"/>
            <w:vAlign w:val="bottom"/>
          </w:tcPr>
          <w:p>
            <w:pPr>
              <w:jc w:val="left"/>
              <w:rPr>
                <w:rFonts w:ascii="Arial" w:hAnsi="Arial"/>
                <w:sz w:val="16"/>
                <w:szCs w:val="16"/>
              </w:rPr>
            </w:pPr>
          </w:p>
        </w:tc>
        <w:tc>
          <w:tcPr>
            <w:tcW w:w="1654" w:type="dxa"/>
            <w:shd w:val="clear" w:color="FFFFFF" w:fill="auto"/>
            <w:textDirection w:val="lrTb"/>
            <w:vAlign w:val="bottom"/>
          </w:tcPr>
          <w:p>
            <w:pPr>
              <w:jc w:val="left"/>
              <w:rPr>
                <w:rFonts w:ascii="Arial" w:hAnsi="Arial"/>
                <w:sz w:val="16"/>
                <w:szCs w:val="16"/>
              </w:rPr>
            </w:pPr>
          </w:p>
        </w:tc>
        <w:tc>
          <w:tcPr>
            <w:tcW w:w="1903" w:type="dxa"/>
            <w:shd w:val="clear" w:color="FFFFFF" w:fill="auto"/>
            <w:textDirection w:val="lrTb"/>
            <w:vAlign w:val="bottom"/>
          </w:tcPr>
          <w:p>
            <w:pPr>
              <w:jc w:val="left"/>
              <w:rPr>
                <w:rFonts w:ascii="Arial" w:hAnsi="Arial"/>
                <w:sz w:val="16"/>
                <w:szCs w:val="16"/>
              </w:rPr>
            </w:pPr>
          </w:p>
        </w:tc>
      </w:tr>
      <w:tr>
        <w:trPr>
          <w:trHeight w:val="60" w:hRule="atLeast"/>
        </w:trPr>
        <w:tc>
          <w:tcPr>
            <w:tcW w:w="18310" w:type="dxa"/>
            <w:gridSpan w:val="10"/>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25.08.2021 17:00:00 по местному времени. </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60" w:hRule="atLeast"/>
        </w:trPr>
        <w:tc>
          <w:tcPr>
            <w:tcW w:w="18310" w:type="dxa"/>
            <w:gridSpan w:val="10"/>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Шишкин Николай Викторович, тел.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