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17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02.08.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2 024 г. №.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1094-2024</w:t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Кондиционер настенный (сплит-система) 2,5 кВт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водительность охлаждения и нагрева не менее 2,5 кВт, максимальная потребляемая мощность не менее 0,83 кВт,  параметры питающей сети 220 В. , класс эффективности не менее А/А,Охлаждение, обогрев, вентиляция, осушение.Размеры прибора внутреннего блока (ШхВхГ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не более 820ммх195ммх280мм .Размеры прибора внешнего блока (ШхВхГ) не более 696ммх256ммх432мм .Многофункциональный LCD-дисплей. Автоматический режим AUTO. Полнофункциональный «авторестарт». Таймер. Самодиагностика. Низкий уровень шума. Наличие пульта ДУ.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Кондиционер настенный (сплит-система) 3,5кВт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Производительность охлаждени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не менее 3,3 кВт, производительность обогрева не менее 3,47 кВт, номинальная потребляемая мощность охлаждения не более 1,08 кВт  и не менее 1,03 кВт, номинальная потребляемая мощность обогрева не более 0,99 кВт, параметры питающей сети 220 В. Режим осуше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воздуха, режим вентилятора, режим автоматической работы, количество скоростей вращения вентилятора не менее 3. Размеры прибора внутреннего блока (ШхВхГ) не более 865ммх290ммх206мм и не менее 795мм*265мм*185мм. Размеры прибора внешнего блока (ШхВхГ)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более 700ммх540ммх275мм и не менее 660мм*535мм*270мм. Охлаждение, обогрев, вентиляция, осушение. Многофункциональный LCD-дисплей. Автоматический режим AUTO. Полнофункциональный «авторестарт». Таймер. Самодиагностика. Низкий уровень шума. Наличие пульта ДУ.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Кондиционер настенный (сплит-система) 5 кВт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одительность охлаждения и нагрева не менее 5,1 кВт, максимальная потребляемая мощность не менее 1,59  кВт,  параметры питающей сети 220 В. , класс эффективности не менее А/А,Охлаждение, обогрев, вентиляция, осушение.Размеры прибора внутреннего блока (ШхВхГ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не более 1008ммх225ммх318мм .Размеры прибора внешнего блока (ШхВхГ) не более 780ммх245ммх540мм .Многофункциональный LCD-дисплей. Автоматический режим AUTO. Полнофункциональный «авторестарт». Таймер. Самодиагностика. Низкий уровень шума. Наличие пульта ДУ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Кондиционер настенный (сплит-система) 7,0 кВт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Производительность охлаж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дения не менее 3,3 кВт, производительность обогрева не менее 3,47 кВт, номинальная потребляемая мощность охлаждения не более 1,08 кВт  и не менее 1,03 кВт, номинальная потребляемая мощность обогрева не более 0,99 кВт, параметры питающей сети 220 В. Режим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сушения воздуха, режим вентилятора, режим автоматической работы, количество скоростей вращения вентилятора не менее 3. Размеры прибора внутреннего блока (ШхВхГ) не более 865ммх290ммх206мм и не менее 795мм*265мм*185мм. Размеры прибора внешнего блока (ШхВхГ)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 700ммх540ммх275мм и не менее 660мм*535мм*270мм. охлаждение/обогрев/вентиляция/осушение. Многофункциональный LCD-дисплей. Автоматический режим AUTO. Полнофункциональный «авторестарт». Таймер. Самодиагностика. Низкий уровень шума. Наличие пульта ДУ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.2024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202-68-69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table" w:styleId="617">
    <w:name w:val="TableStyle0"/>
    <w:pPr>
      <w:spacing w:after="0" w:line="240" w:lineRule="auto"/>
    </w:pPr>
    <w:rPr>
      <w:rFonts w:ascii="Arial" w:hAnsi="Arial"/>
      <w:sz w:val="16"/>
    </w:rPr>
    <w:tblPr/>
  </w:style>
  <w:style w:type="character" w:styleId="3225" w:default="1">
    <w:name w:val="Default Paragraph Font"/>
    <w:uiPriority w:val="1"/>
    <w:semiHidden/>
    <w:unhideWhenUsed/>
  </w:style>
  <w:style w:type="numbering" w:styleId="3226" w:default="1">
    <w:name w:val="No List"/>
    <w:uiPriority w:val="99"/>
    <w:semiHidden/>
    <w:unhideWhenUsed/>
  </w:style>
  <w:style w:type="paragraph" w:styleId="3227" w:default="1">
    <w:name w:val="Normal"/>
    <w:qFormat/>
  </w:style>
  <w:style w:type="table" w:styleId="322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2025-04-11T06:37:07Z</dcterms:modified>
</cp:coreProperties>
</file>