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28"/>
        <w:gridCol w:w="1602"/>
        <w:gridCol w:w="2993"/>
        <w:gridCol w:w="417"/>
        <w:gridCol w:w="531"/>
        <w:gridCol w:w="705"/>
        <w:gridCol w:w="1382"/>
        <w:gridCol w:w="1133"/>
        <w:gridCol w:w="1281"/>
        <w:gridCol w:w="457"/>
      </w:tblGrid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 w:rsidP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№.1046-21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726B0" w:rsidRDefault="004307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26B0" w:rsidRDefault="0043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малоинвазивный,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5.0 мм, длина 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""камертонного типа"", с шестигранным Т20 пазом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малоинвозивной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Головка винта </w:t>
            </w:r>
            <w:r>
              <w:rPr>
                <w:rFonts w:ascii="Times New Roman" w:hAnsi="Times New Roman"/>
                <w:sz w:val="24"/>
                <w:szCs w:val="24"/>
              </w:rPr>
              <w:t>имеет блокирующий механизм в виде однокомпонентной гайки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диаметр,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диаметр, мм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длина,мм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длина,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спмонарезающую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коническую резьбу  и двойную нить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головки винтов, мм не мене</w:t>
            </w:r>
            <w:r>
              <w:rPr>
                <w:rFonts w:ascii="Times New Roman" w:hAnsi="Times New Roman"/>
                <w:sz w:val="24"/>
                <w:szCs w:val="24"/>
              </w:rPr>
              <w:t>е 13,2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4 мм, длина 12 мм,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4 мм, </w:t>
            </w:r>
            <w:r>
              <w:rPr>
                <w:rFonts w:ascii="Times New Roman" w:hAnsi="Times New Roman"/>
                <w:sz w:val="24"/>
                <w:szCs w:val="24"/>
              </w:rPr>
              <w:t>длина 14 мм,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 костный 2,5 г №24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материал, Воск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приобретает пластичность, достаточную для использования в живых тканях, при нагревании в руках в течение времени - 1 минуты. Хирургический воск имеет белый цвет и поставляется в твердом виде, индивидуальная упаковка,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пластинки  2.5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гр.,   24 штук в упаковк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диаметр 9 мм, высота 5,5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гайки Однокомпонентная низкопрофильная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внутренняя,для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винта малоинвазивного,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канюлированого,фенистрированого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Резьба  прямоугольного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сечения. Резьба обеспечивает легкость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установки и снижение возможности вывинчивания гайки. Диаметр гайка, мм не менее 9. Высота,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5,5.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-поясничный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-поясничного отдела позвоночника при дегенеративных </w:t>
            </w:r>
            <w:r>
              <w:rPr>
                <w:rFonts w:ascii="Times New Roman" w:hAnsi="Times New Roman"/>
                <w:sz w:val="24"/>
                <w:szCs w:val="24"/>
              </w:rPr>
              <w:t>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имплантата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ребристую поверхность в виде пирамидальных зубцов, что снижает вероятность миграции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имплантат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не менее 3-х скв</w:t>
            </w:r>
            <w:r>
              <w:rPr>
                <w:rFonts w:ascii="Times New Roman" w:hAnsi="Times New Roman"/>
                <w:sz w:val="24"/>
                <w:szCs w:val="24"/>
              </w:rPr>
              <w:t>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8 мм,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-поясничный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-поясничного отдела 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для надежной фиксации в теле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Кейдж должен иметь ребристую поверхность в виде пирамидальных зубцов, что снижает вероятность миграции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или синтетическо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3 овальных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длина   22мм.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-поясничный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-поясничного отдела 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имплантата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 должен иметь ребристую поверхность в виде пирамидальных зубцов, что снижает вероятность миграции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Сверху имплантат должен иметь прямоугольное 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не менее 3-х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для замещения межпозвонковых дисков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 T-PAL предназначен для замены поясничных межпозвоночных дисков и слияния прилегающих тел позвонков на уровне L1-S1. Имплантат T-PAL сконструирован для использования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трансфораминальном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доступе. Геометрия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 соответствует анатомии тел позвонков, позволяет восстановить лордоз поясничного отдела позвоночника. Кейдж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Два передних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маркера обеспечивают визуализацию передней части имплантата. Маркеры диаметром 1.4 мм расположены в 2 мм от переднего края имплантата. Один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длиной 5 мм обеспечивает визуализацию концевой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введени</w:t>
            </w:r>
            <w:r>
              <w:rPr>
                <w:rFonts w:ascii="Times New Roman" w:hAnsi="Times New Roman"/>
                <w:sz w:val="24"/>
                <w:szCs w:val="24"/>
              </w:rPr>
              <w:t>я. Материал изготовления маркеров – титановый сплав (TAN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титанового сплава имеет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отверстия. Диаметр латерального отверстия малых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 мм, диаметр латерального отверстия больших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 мм. Ширина переднего/задне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 составляет 3.5 мм. Направляющие на верхней части имплантата обеспечивают введение и поворот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нужное положение между телами позвонков.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конфигурация головки обеспечивает легкое введение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Специальн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сконструированный выступ в задней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 легкое соединение и надежный захват имплантата инструментом.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имеется стрелочка, обозначающая место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инструментом. Пирамидальные зубцы на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высотой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предотвращают смещение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Аксиальное окно предназначено для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синтетического трансплантата костной ткани для достижения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спондилодеза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Угол лордоза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градусов (за исключением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высотой 7 мм) обеспечивает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осстановление естественной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кривой. На имплантате имеется маркировка артикула изделия, размера (большой L/малый S), высоты, лота, знака СЕ. Площадь основания, ширина х длина 10х28 мм, Угол лордоза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°,  Высота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11,0 мм Задняя высота,10,2 мм Объем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полнения аксиального окна,0.7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 мм, длина 45 мм, изогнутый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Тип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стержня,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стержня,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одной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окончание для облегчения проведения через мягкие ткани, с другой стороны тупой кончик для фиксации к установочному инструменту соответствие.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 мм, длина 50 мм, изогнутый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Тип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стержня,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стержня,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одной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окончание для облегчения проведения через мягкие ткани, с другой стороны тупой кончик </w:t>
            </w:r>
            <w:r>
              <w:rPr>
                <w:rFonts w:ascii="Times New Roman" w:hAnsi="Times New Roman"/>
                <w:sz w:val="24"/>
                <w:szCs w:val="24"/>
              </w:rPr>
              <w:t>для фиксации к установочному инструменту соответствие.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13 - 18мм, 0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Система  телескопическая, расширение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блокирующего винта; На опорных площадках имеются 3 зубца для первично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доступа. диаметр 12 мм, высота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13-18 мм, 0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17 - 26 мм, 6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Система  телескопическая, расширение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блокирующего винта; На опорных площадках имеются 3 зубца для первично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7-26 мм, 6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Фреза-перфоратор 14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перфоратор для краниотомии состоит из трех основных частей: рабочей части, предназначенной для проделывания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фрезевых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ссцепляющего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предвращающего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попадание перфоратора в полость черепа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мягких тканей, индикатора стерилизации и замка типа "Хадсон". диаметр 14мм, продается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43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26B0" w:rsidRDefault="00172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726B0" w:rsidRDefault="00430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726B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726B0" w:rsidRDefault="00430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26B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726B0" w:rsidRDefault="00430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26B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726B0" w:rsidRDefault="00430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04.08.2021 17:00:00 по местному времени. </w:t>
            </w:r>
          </w:p>
        </w:tc>
      </w:tr>
      <w:tr w:rsidR="001726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726B0" w:rsidRDefault="00430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726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26B0" w:rsidRDefault="001726B0">
            <w:pPr>
              <w:rPr>
                <w:szCs w:val="16"/>
              </w:rPr>
            </w:pPr>
          </w:p>
        </w:tc>
      </w:tr>
      <w:tr w:rsidR="001726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726B0" w:rsidRDefault="00430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26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726B0" w:rsidRDefault="00430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307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6B0"/>
    <w:rsid w:val="001726B0"/>
    <w:rsid w:val="0043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03B1A-7AD6-4EE2-B1C3-1E88F2AD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1578</Words>
  <Characters>9000</Characters>
  <Application>Microsoft Office Word</Application>
  <DocSecurity>0</DocSecurity>
  <Lines>75</Lines>
  <Paragraphs>21</Paragraphs>
  <ScaleCrop>false</ScaleCrop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2021-08-02T10:26:00Z</dcterms:created>
  <dcterms:modified xsi:type="dcterms:W3CDTF">2021-08-02T10:27:00Z</dcterms:modified>
</cp:coreProperties>
</file>