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autofit"/>
        <w:tblCellMar>
          <w:top w:w="0" w:type="dxa"/>
          <w:left w:w="28" w:type="dxa"/>
          <w:bottom w:w="0" w:type="dxa"/>
          <w:right w:w="28" w:type="dxa"/>
        </w:tblCellMar>
        <w:tblLook w:val="04A0"/>
      </w:tblPr>
      <w:tblGrid>
        <w:gridCol w:w="945"/>
        <w:gridCol w:w="2533"/>
        <w:gridCol w:w="3321"/>
        <w:gridCol w:w="1116"/>
        <w:gridCol w:w="1286"/>
        <w:gridCol w:w="1470"/>
        <w:gridCol w:w="2087"/>
        <w:gridCol w:w="1995"/>
        <w:gridCol w:w="1903"/>
      </w:tblGrid>
      <w:tr>
        <w:trPr>
          <w:trHeight w:val="60" w:hRule="atLeast"/>
        </w:trPr>
        <w:tc>
          <w:tcPr>
            <w:tcW w:w="6799" w:type="dxa"/>
            <w:gridSpan w:val="3"/>
            <w:shd w:val="clear" w:color="FFFFFF"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textDirection w:val="lrTb"/>
            <w:vAlign w:val="bottom"/>
          </w:tcPr>
          <w:p>
            <w:pPr>
              <w:jc w:val="left"/>
              <w:rPr>
                <w:rFonts w:ascii="Times New Roman" w:hAnsi="Times New Roman"/>
                <w:sz w:val="24"/>
                <w:szCs w:val="24"/>
              </w:rPr>
            </w:pPr>
          </w:p>
        </w:tc>
        <w:tc>
          <w:tcPr>
            <w:tcW w:w="2756" w:type="dxa"/>
            <w:gridSpan w:val="2"/>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22.07.2021 г. №.1001-2021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2758" w:type="dxa"/>
            <w:gridSpan w:val="7"/>
            <w:shd w:val="clear" w:color="FFFFFF"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6656" w:type="dxa"/>
            <w:gridSpan w:val="9"/>
            <w:shd w:val="clear" w:color="FFFFFF"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Код вида медицинского изделия</w:t>
            </w: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ОКПД2\КТРУ</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Антенна для программатора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удобства пользования программатором пациента, при управлении имплантированным генератором импульсов. Служит удлинителем к программатору пациента, для неинвазивного управления параметрами и снятия телеметрии с имплантируемого генератора импульсов. Должно быть приспособление для закрепления на одежде. Проводное соединение с программатором пациента.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Кабель к 5-канальному устройству погружения электродов</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Кабели изготовлены из меди, длина не более 30 см. На дистальном конце кабель имеет разъемы подключения к микроэлектродам для записи активности нейронов и стимуляции глубинных структур мозга, разъемы имеют цифровую маркироку и цветовую. На проксимальном конце кабель имеет комбинированный разъем для подключения к устройству погружения электродов. Комбинированный разъем должен иметь ключ для правильной ориентации. Поставляются стерильными в упаковке по 10 шт.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Электрод имплантируемый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стимуляции глубинных структур головного мозга. Форма прямой. Длина не более 40 см. Диаметр проводника электрода не более 1,3 мм. Число контактов на дистальном конце не менее 4. Форма контакта на дистальном конце цилиндрическая. Длина контакта на дистальном конце не более 1,5 мм. Расстояние между контактами на дистальном конце не более 1,5 мм. Возможность проведения КТ и МРТ исследований.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Удлинитель подкожный временный и принадлежности для туннелирования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Предназначены для подкожного проведения имплантируемого удлинителя. Длина стержня проводника не менее 40 см. Должна быть возможность проведения двух имплантируемых удлинителей единовременно. Материал стержня - нержавеющая сталь.</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Удлинитель имплантируемый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Для соединения имплантируемого четырехконтактного электрода с имплантируемым генератором импульсов. Контактная группа для соединения на дистальном и проксимальном концах. Длина должна быть 60-95 см (по конкретной заявке заказчика). Наличие растягивающейся конструкции с увеличением длины не менее 10%. Диаметр проводника  не более 1,3 мм.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Направляющие и стилеты для микроэлектродов</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Направляющие со стилетами: внутренний диаметр не менее 1.4 мм, внешний диаметр не более1.8 мм, длина не менее 167 мм, материал сталь. Поставляются стерильными в упаковке по 10 шт.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Генератор импульсов имплантируемый для нейростимуляции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стимуляции головного мозга. Объем не более 39 см³. Вес не более 67 г. Наружный материал корпуса титан. Количество активных контактов для стимуляции не менее  8. Количество каналов для стимуляции не менее 2. Возможность стимуляции, при имплантации одного электрода. Количество программ доступных для стимуляции в группе не менее 4. Количество групп доступных для программирования не более 4. Выбор многопрограммного или однопрограммного режима работы. Изменение полярности четырех контактов на каждом канале (выключен, положительный, отрицательный). Неинвазивное изменение программ и снятие телеметрии. Минимальный диапазон регулировки амплитуды импульса от 0 до 10,5 В. Минимальный диапазон регулировки длительности импульса от 60 до 450 мкс. Минимальный диапазон регулировки частоты от 2 до 250 Гц. Возможность непрерывного и циклического стимулирования. Источник питания неперезеряжаемая батарея. Возможность проведения КТ и МРТ исследований.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Программатор пациента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Возможность неинвазивного снятия телеметрии с генератора импульсов, имплантируемого и тестового, изменения параметров стимуляции. Информационный жидкокристаллический экран. Возможность выбора программы стимуляции. Функция включения и отключения генератора импульсов. Непрерывный режим работы. Элемент питания - 2 ААА батарейки (LR03); рабочая температура - от 9°C до 43°C; температура хранения - от -34°C до 57°C; режим работы – непрерывный; размеры пульта - не более 9,4 x 5,6 x 2,8 см; масса пульта с батареей - не более 111 г. В комплекте: элемент питания 2 шт. кобура с шаблоном 1 шт.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комплект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Электрод экранированный с изоляцией стерильный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Электроды экранированные с двумя активными контактами: игольчатый контакт предназначен для регистрации микропотенциалов, длина микроконтакта не более 3 мм; кольцевой контакт предназначен для регистрации макропотенциалов и стимуляции, длина макроконтакта не более 1 мм; общая длина электрода не менее 237 мм, материал микроэлектрода вольфрам. Поставляются стерильными в упаковке по 10 шт.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375"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6656" w:type="dxa"/>
            <w:gridSpan w:val="9"/>
            <w:shd w:val="clear" w:color="FFFFFF"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31.12.2021 г., по заявке Заказчика.</w:t>
            </w:r>
          </w:p>
        </w:tc>
      </w:tr>
      <w:tr>
        <w:trPr>
          <w:trHeight w:val="12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6656" w:type="dxa"/>
            <w:gridSpan w:val="9"/>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atLeast"/>
        </w:trPr>
        <w:tc>
          <w:tcPr>
            <w:tcW w:w="945" w:type="dxa"/>
            <w:shd w:val="clear" w:color="FFFFFF" w:fill="auto"/>
            <w:textDirection w:val="lrTb"/>
            <w:vAlign w:val="bottom"/>
          </w:tcPr>
          <w:p>
            <w:pPr>
              <w:wordWrap w:val="1"/>
              <w:jc w:val="left"/>
              <w:rPr>
                <w:rFonts w:ascii="Times New Roman" w:hAnsi="Times New Roman"/>
                <w:sz w:val="28"/>
                <w:szCs w:val="28"/>
              </w:rPr>
            </w:pPr>
          </w:p>
        </w:tc>
        <w:tc>
          <w:tcPr>
            <w:tcW w:w="2533" w:type="dxa"/>
            <w:shd w:val="clear" w:color="FFFFFF" w:fill="auto"/>
            <w:textDirection w:val="lrTb"/>
            <w:vAlign w:val="bottom"/>
          </w:tcPr>
          <w:p>
            <w:pPr>
              <w:wordWrap w:val="1"/>
              <w:jc w:val="left"/>
              <w:rPr>
                <w:rFonts w:ascii="Times New Roman" w:hAnsi="Times New Roman"/>
                <w:sz w:val="28"/>
                <w:szCs w:val="28"/>
              </w:rPr>
            </w:pPr>
          </w:p>
        </w:tc>
        <w:tc>
          <w:tcPr>
            <w:tcW w:w="3321" w:type="dxa"/>
            <w:shd w:val="clear" w:color="FFFFFF" w:fill="auto"/>
            <w:textDirection w:val="lrTb"/>
            <w:vAlign w:val="bottom"/>
          </w:tcPr>
          <w:p>
            <w:pPr>
              <w:wordWrap w:val="1"/>
              <w:jc w:val="left"/>
              <w:rPr>
                <w:rFonts w:ascii="Times New Roman" w:hAnsi="Times New Roman"/>
                <w:sz w:val="28"/>
                <w:szCs w:val="28"/>
              </w:rPr>
            </w:pPr>
          </w:p>
        </w:tc>
        <w:tc>
          <w:tcPr>
            <w:tcW w:w="1116" w:type="dxa"/>
            <w:shd w:val="clear" w:color="FFFFFF" w:fill="auto"/>
            <w:textDirection w:val="lrTb"/>
            <w:vAlign w:val="bottom"/>
          </w:tcPr>
          <w:p>
            <w:pPr>
              <w:wordWrap w:val="1"/>
              <w:jc w:val="left"/>
              <w:rPr>
                <w:rFonts w:ascii="Times New Roman" w:hAnsi="Times New Roman"/>
                <w:sz w:val="28"/>
                <w:szCs w:val="28"/>
              </w:rPr>
            </w:pPr>
          </w:p>
        </w:tc>
        <w:tc>
          <w:tcPr>
            <w:tcW w:w="1286" w:type="dxa"/>
            <w:shd w:val="clear" w:color="FFFFFF" w:fill="auto"/>
            <w:textDirection w:val="lrTb"/>
            <w:vAlign w:val="bottom"/>
          </w:tcPr>
          <w:p>
            <w:pPr>
              <w:wordWrap w:val="1"/>
              <w:jc w:val="left"/>
              <w:rPr>
                <w:rFonts w:ascii="Times New Roman" w:hAnsi="Times New Roman"/>
                <w:sz w:val="28"/>
                <w:szCs w:val="28"/>
              </w:rPr>
            </w:pPr>
          </w:p>
        </w:tc>
        <w:tc>
          <w:tcPr>
            <w:tcW w:w="1470" w:type="dxa"/>
            <w:shd w:val="clear" w:color="FFFFFF" w:fill="auto"/>
            <w:textDirection w:val="lrTb"/>
            <w:vAlign w:val="bottom"/>
          </w:tcPr>
          <w:p>
            <w:pPr>
              <w:wordWrap w:val="1"/>
              <w:jc w:val="left"/>
              <w:rPr>
                <w:rFonts w:ascii="Times New Roman" w:hAnsi="Times New Roman"/>
                <w:sz w:val="28"/>
                <w:szCs w:val="28"/>
              </w:rPr>
            </w:pPr>
          </w:p>
        </w:tc>
        <w:tc>
          <w:tcPr>
            <w:tcW w:w="2087" w:type="dxa"/>
            <w:shd w:val="clear" w:color="FFFFFF" w:fill="auto"/>
            <w:textDirection w:val="lrTb"/>
            <w:vAlign w:val="bottom"/>
          </w:tcPr>
          <w:p>
            <w:pPr>
              <w:wordWrap w:val="1"/>
              <w:jc w:val="left"/>
              <w:rPr>
                <w:rFonts w:ascii="Times New Roman" w:hAnsi="Times New Roman"/>
                <w:sz w:val="28"/>
                <w:szCs w:val="28"/>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6656" w:type="dxa"/>
            <w:gridSpan w:val="9"/>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atLeast"/>
        </w:trPr>
        <w:tc>
          <w:tcPr>
            <w:tcW w:w="945" w:type="dxa"/>
            <w:shd w:val="clear" w:color="FFFFFF" w:fill="auto"/>
            <w:textDirection w:val="lrTb"/>
            <w:vAlign w:val="bottom"/>
          </w:tcPr>
          <w:p>
            <w:pPr>
              <w:jc w:val="left"/>
              <w:rPr>
                <w:rFonts w:ascii="Arial" w:hAnsi="Arial"/>
                <w:sz w:val="16"/>
                <w:szCs w:val="16"/>
              </w:rPr>
            </w:pPr>
          </w:p>
        </w:tc>
        <w:tc>
          <w:tcPr>
            <w:tcW w:w="2533" w:type="dxa"/>
            <w:shd w:val="clear" w:color="FFFFFF" w:fill="auto"/>
            <w:textDirection w:val="lrTb"/>
            <w:vAlign w:val="bottom"/>
          </w:tcPr>
          <w:p>
            <w:pPr>
              <w:jc w:val="left"/>
              <w:rPr>
                <w:rFonts w:ascii="Arial" w:hAnsi="Arial"/>
                <w:sz w:val="16"/>
                <w:szCs w:val="16"/>
              </w:rPr>
            </w:pPr>
          </w:p>
        </w:tc>
        <w:tc>
          <w:tcPr>
            <w:tcW w:w="3321" w:type="dxa"/>
            <w:shd w:val="clear" w:color="FFFFFF" w:fill="auto"/>
            <w:textDirection w:val="lrTb"/>
            <w:vAlign w:val="bottom"/>
          </w:tcPr>
          <w:p>
            <w:pPr>
              <w:jc w:val="left"/>
              <w:rPr>
                <w:rFonts w:ascii="Arial" w:hAnsi="Arial"/>
                <w:sz w:val="16"/>
                <w:szCs w:val="16"/>
              </w:rPr>
            </w:pPr>
          </w:p>
        </w:tc>
        <w:tc>
          <w:tcPr>
            <w:tcW w:w="1116" w:type="dxa"/>
            <w:shd w:val="clear" w:color="FFFFFF" w:fill="auto"/>
            <w:textDirection w:val="lrTb"/>
            <w:vAlign w:val="bottom"/>
          </w:tcPr>
          <w:p>
            <w:pPr>
              <w:jc w:val="left"/>
              <w:rPr>
                <w:rFonts w:ascii="Arial" w:hAnsi="Arial"/>
                <w:sz w:val="16"/>
                <w:szCs w:val="16"/>
              </w:rPr>
            </w:pPr>
          </w:p>
        </w:tc>
        <w:tc>
          <w:tcPr>
            <w:tcW w:w="1286" w:type="dxa"/>
            <w:shd w:val="clear" w:color="FFFFFF" w:fill="auto"/>
            <w:textDirection w:val="lrTb"/>
            <w:vAlign w:val="bottom"/>
          </w:tcPr>
          <w:p>
            <w:pPr>
              <w:jc w:val="left"/>
              <w:rPr>
                <w:rFonts w:ascii="Arial" w:hAnsi="Arial"/>
                <w:sz w:val="16"/>
                <w:szCs w:val="16"/>
              </w:rPr>
            </w:pPr>
          </w:p>
        </w:tc>
        <w:tc>
          <w:tcPr>
            <w:tcW w:w="1470" w:type="dxa"/>
            <w:shd w:val="clear" w:color="FFFFFF" w:fill="auto"/>
            <w:textDirection w:val="lrTb"/>
            <w:vAlign w:val="bottom"/>
          </w:tcPr>
          <w:p>
            <w:pPr>
              <w:jc w:val="left"/>
              <w:rPr>
                <w:rFonts w:ascii="Arial" w:hAnsi="Arial"/>
                <w:sz w:val="16"/>
                <w:szCs w:val="16"/>
              </w:rPr>
            </w:pPr>
          </w:p>
        </w:tc>
        <w:tc>
          <w:tcPr>
            <w:tcW w:w="2087" w:type="dxa"/>
            <w:shd w:val="clear" w:color="FFFFFF" w:fill="auto"/>
            <w:textDirection w:val="lrTb"/>
            <w:vAlign w:val="bottom"/>
          </w:tcPr>
          <w:p>
            <w:pPr>
              <w:jc w:val="left"/>
              <w:rPr>
                <w:rFonts w:ascii="Arial" w:hAnsi="Arial"/>
                <w:sz w:val="16"/>
                <w:szCs w:val="16"/>
              </w:rPr>
            </w:pPr>
          </w:p>
        </w:tc>
        <w:tc>
          <w:tcPr>
            <w:tcW w:w="1995" w:type="dxa"/>
            <w:shd w:val="clear" w:color="FFFFFF" w:fill="auto"/>
            <w:textDirection w:val="lrTb"/>
            <w:vAlign w:val="bottom"/>
          </w:tcPr>
          <w:p>
            <w:pPr>
              <w:jc w:val="left"/>
              <w:rPr>
                <w:rFonts w:ascii="Arial" w:hAnsi="Arial"/>
                <w:sz w:val="16"/>
                <w:szCs w:val="16"/>
              </w:rPr>
            </w:pPr>
          </w:p>
        </w:tc>
        <w:tc>
          <w:tcPr>
            <w:tcW w:w="1903" w:type="dxa"/>
            <w:shd w:val="clear" w:color="FFFFFF" w:fill="auto"/>
            <w:textDirection w:val="lrTb"/>
            <w:vAlign w:val="bottom"/>
          </w:tcPr>
          <w:p>
            <w:pPr>
              <w:jc w:val="left"/>
              <w:rPr>
                <w:rFonts w:ascii="Arial" w:hAnsi="Arial"/>
                <w:sz w:val="16"/>
                <w:szCs w:val="16"/>
              </w:rPr>
            </w:pPr>
          </w:p>
        </w:tc>
      </w:tr>
      <w:tr>
        <w:trPr>
          <w:trHeight w:val="60" w:hRule="atLeast"/>
        </w:trPr>
        <w:tc>
          <w:tcPr>
            <w:tcW w:w="16656" w:type="dxa"/>
            <w:gridSpan w:val="9"/>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26.07.2021 17:00:00 по местному времени. </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6656" w:type="dxa"/>
            <w:gridSpan w:val="9"/>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95"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6656" w:type="dxa"/>
            <w:gridSpan w:val="9"/>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60" w:hRule="atLeast"/>
        </w:trPr>
        <w:tc>
          <w:tcPr>
            <w:tcW w:w="16656" w:type="dxa"/>
            <w:gridSpan w:val="9"/>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Белова Марина Георгиевна, тел.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